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FAAE" w14:textId="77777777" w:rsidR="00290298" w:rsidRDefault="00290298">
      <w:pPr>
        <w:pStyle w:val="Zhlav"/>
        <w:tabs>
          <w:tab w:val="clear" w:pos="4536"/>
          <w:tab w:val="clear" w:pos="9072"/>
          <w:tab w:val="left" w:pos="6672"/>
        </w:tabs>
        <w:rPr>
          <w:rFonts w:cs="Calibri"/>
          <w:b/>
          <w:bCs/>
          <w:sz w:val="24"/>
        </w:rPr>
      </w:pPr>
    </w:p>
    <w:p w14:paraId="2DA9A50D" w14:textId="77777777" w:rsidR="00290298" w:rsidRDefault="00290298">
      <w:pPr>
        <w:pStyle w:val="Zhlav"/>
        <w:tabs>
          <w:tab w:val="clear" w:pos="4536"/>
          <w:tab w:val="clear" w:pos="9072"/>
          <w:tab w:val="left" w:pos="6672"/>
        </w:tabs>
        <w:rPr>
          <w:rFonts w:cs="Calibri"/>
          <w:b/>
          <w:bCs/>
          <w:sz w:val="24"/>
        </w:rPr>
      </w:pPr>
    </w:p>
    <w:p w14:paraId="602DB445" w14:textId="77777777" w:rsidR="00290298" w:rsidRDefault="00FD2D52">
      <w:pPr>
        <w:pStyle w:val="Zhlav"/>
        <w:tabs>
          <w:tab w:val="clear" w:pos="4536"/>
          <w:tab w:val="clear" w:pos="9072"/>
          <w:tab w:val="left" w:pos="6672"/>
        </w:tabs>
      </w:pPr>
      <w:r>
        <w:rPr>
          <w:rFonts w:cs="Arial"/>
          <w:b/>
          <w:bCs/>
          <w:sz w:val="28"/>
          <w:szCs w:val="28"/>
        </w:rPr>
        <w:t>Příloha 7 – Pokyny pro vytvoření velkoobchodní nabídky</w:t>
      </w:r>
    </w:p>
    <w:p w14:paraId="54699F05" w14:textId="77777777" w:rsidR="00290298" w:rsidRDefault="00FD2D52">
      <w:pPr>
        <w:spacing w:line="276" w:lineRule="auto"/>
      </w:pPr>
      <w:r>
        <w:rPr>
          <w:rFonts w:cs="Calibri"/>
          <w:b/>
          <w:sz w:val="24"/>
        </w:rPr>
        <w:t>I</w:t>
      </w:r>
      <w:r w:rsidR="00A90264">
        <w:rPr>
          <w:rFonts w:cs="Calibri"/>
          <w:b/>
          <w:sz w:val="24"/>
        </w:rPr>
        <w:t>II</w:t>
      </w:r>
      <w:r>
        <w:rPr>
          <w:rFonts w:cs="Calibri"/>
          <w:b/>
          <w:sz w:val="24"/>
        </w:rPr>
        <w:t>. Výzva NPO – Digitální vysokokapacitní sítě</w:t>
      </w:r>
      <w:r>
        <w:rPr>
          <w:rFonts w:cs="Calibri"/>
          <w:b/>
          <w:sz w:val="24"/>
        </w:rPr>
        <w:br/>
      </w:r>
      <w:r>
        <w:rPr>
          <w:rFonts w:eastAsia="Calibri" w:cs="Calibri"/>
          <w:b/>
          <w:sz w:val="24"/>
        </w:rPr>
        <w:t>Rozvoj mobilní infrastruktury sítí 5G v investičně náročných místech na venkově</w:t>
      </w:r>
    </w:p>
    <w:p w14:paraId="7306687E" w14:textId="77777777" w:rsidR="00290298" w:rsidRDefault="00290298">
      <w:pPr>
        <w:spacing w:line="276" w:lineRule="auto"/>
        <w:rPr>
          <w:rFonts w:eastAsia="Calibri" w:cs="Calibri"/>
          <w:b/>
          <w:sz w:val="24"/>
        </w:rPr>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5108AF81" w14:textId="77777777">
        <w:tc>
          <w:tcPr>
            <w:tcW w:w="9775" w:type="dxa"/>
            <w:shd w:val="clear" w:color="auto" w:fill="D9E2F3"/>
            <w:tcMar>
              <w:top w:w="0" w:type="dxa"/>
              <w:left w:w="108" w:type="dxa"/>
              <w:bottom w:w="0" w:type="dxa"/>
              <w:right w:w="108" w:type="dxa"/>
            </w:tcMar>
          </w:tcPr>
          <w:p w14:paraId="57E39645" w14:textId="77777777" w:rsidR="00290298" w:rsidRDefault="00FD2D52">
            <w:pPr>
              <w:shd w:val="clear" w:color="auto" w:fill="D9E2F3"/>
              <w:spacing w:before="120" w:after="120" w:line="276" w:lineRule="auto"/>
              <w:ind w:left="482" w:hanging="425"/>
            </w:pPr>
            <w:r>
              <w:rPr>
                <w:rFonts w:eastAsia="Calibri" w:cs="Calibri"/>
                <w:b/>
                <w:sz w:val="24"/>
              </w:rPr>
              <w:t xml:space="preserve">1. </w:t>
            </w:r>
            <w:r>
              <w:rPr>
                <w:rFonts w:eastAsia="Calibri" w:cs="Calibri"/>
                <w:b/>
                <w:sz w:val="24"/>
              </w:rPr>
              <w:tab/>
              <w:t>Základní principy velkoobchodní nabídky</w:t>
            </w:r>
          </w:p>
        </w:tc>
      </w:tr>
    </w:tbl>
    <w:p w14:paraId="5541CAEB" w14:textId="77777777" w:rsidR="00290298" w:rsidRDefault="00FD2D52">
      <w:pPr>
        <w:pStyle w:val="Style1"/>
        <w:numPr>
          <w:ilvl w:val="0"/>
          <w:numId w:val="23"/>
        </w:numPr>
        <w:ind w:left="425" w:hanging="425"/>
      </w:pPr>
      <w:r>
        <w:t>Tyto Pokyny pro vytvoření velkoobchodní nabídky (dále jen „Pokyny“)</w:t>
      </w:r>
      <w:r>
        <w:rPr>
          <w:rStyle w:val="Znakapoznpodarou"/>
        </w:rPr>
        <w:footnoteReference w:id="1"/>
      </w:r>
      <w:r>
        <w:t xml:space="preserve"> stanoví konkrétní požadavky na vytvoření a zveřejnění velkoobchodní nabídky přístupu na sítích 5G budovaných v investičně náročných lokalitách na venkově v rámci III. výzvy komponenty NPO – Digitální vysokokapacitní sítě. </w:t>
      </w:r>
    </w:p>
    <w:p w14:paraId="58127827" w14:textId="77777777" w:rsidR="00290298" w:rsidRDefault="00FD2D52">
      <w:pPr>
        <w:pStyle w:val="Style1"/>
        <w:numPr>
          <w:ilvl w:val="0"/>
          <w:numId w:val="23"/>
        </w:numPr>
        <w:ind w:left="425" w:hanging="425"/>
      </w:pPr>
      <w:r>
        <w:t>Poskytnutí velkoobchodního přístupu v rámci této výzvy:</w:t>
      </w:r>
    </w:p>
    <w:p w14:paraId="579867C1" w14:textId="77777777" w:rsidR="00290298" w:rsidRDefault="00FD2D52">
      <w:pPr>
        <w:pStyle w:val="Style1"/>
        <w:numPr>
          <w:ilvl w:val="1"/>
          <w:numId w:val="25"/>
        </w:numPr>
        <w:ind w:left="709" w:hanging="284"/>
      </w:pPr>
      <w:r>
        <w:t xml:space="preserve">Akceptuje komplementární rozdělení aktivit mezi tzv. </w:t>
      </w:r>
      <w:proofErr w:type="spellStart"/>
      <w:r w:rsidR="00FB7BF4">
        <w:t>Cellular</w:t>
      </w:r>
      <w:proofErr w:type="spellEnd"/>
      <w:r w:rsidR="00FB7BF4">
        <w:t xml:space="preserve"> </w:t>
      </w:r>
      <w:r>
        <w:t xml:space="preserve">Tower </w:t>
      </w:r>
      <w:proofErr w:type="spellStart"/>
      <w:r>
        <w:t>Companies</w:t>
      </w:r>
      <w:proofErr w:type="spellEnd"/>
      <w:r>
        <w:t xml:space="preserve"> (dále jen „správce infrastruktury“) a jeho smluvním držitelem práv k využívání rádiových kmitočtů pro zajišťování sítí a poskytování služeb ve standardu 5G (dále jen „mobilní operátor“) při pokrývání území mobilním signálem. </w:t>
      </w:r>
    </w:p>
    <w:p w14:paraId="0CD12D0F" w14:textId="77777777" w:rsidR="00290298" w:rsidRDefault="00FD2D52">
      <w:pPr>
        <w:pStyle w:val="Style1"/>
        <w:numPr>
          <w:ilvl w:val="1"/>
          <w:numId w:val="25"/>
        </w:numPr>
        <w:ind w:left="709" w:hanging="284"/>
      </w:pPr>
      <w:r>
        <w:t>Zohledňuje skutečnost, že podpora z veřejných zdrojů je směrována pouze na pokrytí investičních nákladů spojených s budováním pasivní infrastruktury základnových stanic.</w:t>
      </w:r>
    </w:p>
    <w:p w14:paraId="4FBA5909" w14:textId="77777777" w:rsidR="00290298" w:rsidRDefault="00FD2D52">
      <w:pPr>
        <w:pStyle w:val="Style1"/>
        <w:numPr>
          <w:ilvl w:val="0"/>
          <w:numId w:val="23"/>
        </w:numPr>
        <w:ind w:left="425" w:hanging="425"/>
      </w:pPr>
      <w:r>
        <w:t>Velkoobchodní přístup držitelům práv k využívání rádiových kmitočtů pro zajištění sítí a poskytování služeb ve standardu 5G (dále jen „Žadatelé o přístup“) k dotované infrastruktuře musí být nabízen a poskytován za spravedlivých, nediskriminačních a transparentních podmínek při současném zohlednění principu technologické neutrality a přiměřenosti a tím v dané lokalitě</w:t>
      </w:r>
    </w:p>
    <w:p w14:paraId="3AF69E23" w14:textId="77777777" w:rsidR="00290298" w:rsidRDefault="00FD2D52">
      <w:pPr>
        <w:pStyle w:val="Style1"/>
        <w:numPr>
          <w:ilvl w:val="1"/>
          <w:numId w:val="25"/>
        </w:numPr>
        <w:ind w:left="709" w:hanging="284"/>
      </w:pPr>
      <w:r>
        <w:t>byl pozitivně stimulovaný rozvoj konkurenčního prostředí,</w:t>
      </w:r>
    </w:p>
    <w:p w14:paraId="221D85D3" w14:textId="77777777" w:rsidR="00290298" w:rsidRDefault="00FD2D52">
      <w:pPr>
        <w:pStyle w:val="Style1"/>
        <w:numPr>
          <w:ilvl w:val="1"/>
          <w:numId w:val="25"/>
        </w:numPr>
        <w:ind w:left="709" w:hanging="284"/>
      </w:pPr>
      <w:r>
        <w:t>pro koncové zákazníky bylo zajištěno co nejširší poskytování veřejně dostupných služeb,</w:t>
      </w:r>
    </w:p>
    <w:p w14:paraId="61A3B2B6" w14:textId="77777777" w:rsidR="00290298" w:rsidRDefault="00FD2D52">
      <w:pPr>
        <w:pStyle w:val="Style1"/>
        <w:numPr>
          <w:ilvl w:val="0"/>
          <w:numId w:val="23"/>
        </w:numPr>
        <w:ind w:left="425" w:hanging="425"/>
      </w:pPr>
      <w:r>
        <w:t>S ohledem na výše uvedené principy, zejména principu přiměřenosti, a při současném zohlednění principu, že typy povinností, které vyplývají z poskytování velkoobchodního přístupu na infrastruktuře spolufinancované z veřejných zdrojů, by měly být sladěny s portfoliem povinností velkoobchodního přístupu, které jsou stanoveny v odvětvové regulaci v České republice, bude požadováno, aby Příjemce dotace zajistil:</w:t>
      </w:r>
    </w:p>
    <w:p w14:paraId="600BDFC2" w14:textId="77777777" w:rsidR="00290298" w:rsidRDefault="00FD2D52">
      <w:pPr>
        <w:pStyle w:val="Style1"/>
        <w:numPr>
          <w:ilvl w:val="1"/>
          <w:numId w:val="25"/>
        </w:numPr>
        <w:ind w:left="709" w:hanging="284"/>
      </w:pPr>
      <w:r>
        <w:t>Pro mobilní přístupové sítě přinejmenším:</w:t>
      </w:r>
    </w:p>
    <w:p w14:paraId="4294080B" w14:textId="77777777" w:rsidR="00290298" w:rsidRDefault="00FD2D52">
      <w:pPr>
        <w:pStyle w:val="Style1"/>
        <w:numPr>
          <w:ilvl w:val="2"/>
          <w:numId w:val="25"/>
        </w:numPr>
        <w:ind w:left="993" w:hanging="284"/>
      </w:pPr>
      <w:r>
        <w:t xml:space="preserve">přístup ke sloupům/stožárům/věžím a </w:t>
      </w:r>
      <w:proofErr w:type="spellStart"/>
      <w:r>
        <w:t>rooftopům</w:t>
      </w:r>
      <w:proofErr w:type="spellEnd"/>
      <w:r>
        <w:t xml:space="preserve"> vč. na nich umístěných nosičů,</w:t>
      </w:r>
    </w:p>
    <w:p w14:paraId="44055D6C" w14:textId="77777777" w:rsidR="00290298" w:rsidRDefault="00FD2D52">
      <w:pPr>
        <w:pStyle w:val="Style1"/>
        <w:numPr>
          <w:ilvl w:val="2"/>
          <w:numId w:val="25"/>
        </w:numPr>
        <w:ind w:left="993" w:hanging="284"/>
      </w:pPr>
      <w:r>
        <w:t xml:space="preserve">přístup ke </w:t>
      </w:r>
      <w:proofErr w:type="spellStart"/>
      <w:r>
        <w:t>kabelovodům</w:t>
      </w:r>
      <w:proofErr w:type="spellEnd"/>
      <w:r w:rsidR="000F19C9">
        <w:t>, nenasvíceným vláknům</w:t>
      </w:r>
      <w:r>
        <w:t xml:space="preserve"> </w:t>
      </w:r>
      <w:r w:rsidR="000F19C9">
        <w:t>a</w:t>
      </w:r>
      <w:r>
        <w:t xml:space="preserve"> chráničkám, </w:t>
      </w:r>
    </w:p>
    <w:p w14:paraId="1CDDC065" w14:textId="77777777" w:rsidR="00290298" w:rsidRDefault="00FD2D52">
      <w:pPr>
        <w:pStyle w:val="Style1"/>
        <w:numPr>
          <w:ilvl w:val="2"/>
          <w:numId w:val="25"/>
        </w:numPr>
        <w:ind w:left="993" w:hanging="284"/>
      </w:pPr>
      <w:r>
        <w:t>prostor v kontejneru včetně elektrického napájení</w:t>
      </w:r>
      <w:r w:rsidR="00FB7BF4">
        <w:t>,</w:t>
      </w:r>
    </w:p>
    <w:p w14:paraId="022A9319" w14:textId="77777777" w:rsidR="00FB7BF4" w:rsidRDefault="00FB7BF4">
      <w:pPr>
        <w:pStyle w:val="Style1"/>
        <w:numPr>
          <w:ilvl w:val="2"/>
          <w:numId w:val="25"/>
        </w:numPr>
        <w:ind w:left="993" w:hanging="284"/>
      </w:pPr>
      <w:r>
        <w:t>přístup k</w:t>
      </w:r>
      <w:r w:rsidR="00A85C2B">
        <w:t xml:space="preserve"> její </w:t>
      </w:r>
      <w:r>
        <w:t xml:space="preserve">aktivní části v podobě </w:t>
      </w:r>
      <w:r w:rsidR="00CC0BA8">
        <w:t xml:space="preserve">služby </w:t>
      </w:r>
      <w:r>
        <w:t>roamingu.</w:t>
      </w:r>
    </w:p>
    <w:p w14:paraId="3659E699" w14:textId="77777777" w:rsidR="00290298" w:rsidRDefault="00FD2D52">
      <w:pPr>
        <w:pStyle w:val="Style1"/>
        <w:numPr>
          <w:ilvl w:val="0"/>
          <w:numId w:val="0"/>
        </w:numPr>
        <w:ind w:left="709" w:hanging="1"/>
      </w:pPr>
      <w:r>
        <w:t xml:space="preserve">Přístup musí být zajištěn tak, aby v budoucnu na této infrastruktuře mohly být poskytovány produkty přístupu potřebné k využívání pokročilejších funkcí mobilních sítí páté generace a budoucích generací. </w:t>
      </w:r>
    </w:p>
    <w:p w14:paraId="31F03E1F" w14:textId="77777777" w:rsidR="00290298" w:rsidRDefault="00FD2D52">
      <w:pPr>
        <w:pStyle w:val="Style1"/>
        <w:pageBreakBefore/>
        <w:numPr>
          <w:ilvl w:val="1"/>
          <w:numId w:val="25"/>
        </w:numPr>
        <w:ind w:left="709" w:hanging="284"/>
      </w:pPr>
      <w:r>
        <w:lastRenderedPageBreak/>
        <w:t xml:space="preserve">A zároveň na </w:t>
      </w:r>
      <w:r w:rsidR="009472ED">
        <w:t>přípojné části sítě</w:t>
      </w:r>
      <w:r>
        <w:t>:</w:t>
      </w:r>
    </w:p>
    <w:p w14:paraId="688C0121" w14:textId="77777777" w:rsidR="00290298" w:rsidRDefault="00FD2D52">
      <w:pPr>
        <w:pStyle w:val="Style1"/>
        <w:numPr>
          <w:ilvl w:val="2"/>
          <w:numId w:val="25"/>
        </w:numPr>
        <w:ind w:left="993" w:hanging="284"/>
      </w:pPr>
      <w:r>
        <w:t xml:space="preserve">přístup ke sloupům/stožárům/věžím a </w:t>
      </w:r>
      <w:proofErr w:type="spellStart"/>
      <w:r>
        <w:t>rooftopům</w:t>
      </w:r>
      <w:proofErr w:type="spellEnd"/>
      <w:r>
        <w:t>,</w:t>
      </w:r>
    </w:p>
    <w:p w14:paraId="5E142EF8" w14:textId="77777777" w:rsidR="00290298" w:rsidRDefault="00FD2D52">
      <w:pPr>
        <w:pStyle w:val="Style1"/>
        <w:numPr>
          <w:ilvl w:val="2"/>
          <w:numId w:val="25"/>
        </w:numPr>
        <w:ind w:left="993" w:hanging="284"/>
      </w:pPr>
      <w:r>
        <w:t xml:space="preserve">přístup ke </w:t>
      </w:r>
      <w:proofErr w:type="spellStart"/>
      <w:r>
        <w:t>kabelovodům</w:t>
      </w:r>
      <w:proofErr w:type="spellEnd"/>
      <w:r w:rsidR="009472ED">
        <w:t xml:space="preserve">, </w:t>
      </w:r>
      <w:r>
        <w:t>nenasvíceným vláknům</w:t>
      </w:r>
      <w:r w:rsidR="009472ED">
        <w:t xml:space="preserve"> a chráničkám</w:t>
      </w:r>
      <w:r>
        <w:t>,</w:t>
      </w:r>
    </w:p>
    <w:p w14:paraId="475AD415" w14:textId="77777777" w:rsidR="00290298" w:rsidRDefault="00FD2D52">
      <w:pPr>
        <w:pStyle w:val="Style1"/>
        <w:numPr>
          <w:ilvl w:val="2"/>
          <w:numId w:val="25"/>
        </w:numPr>
        <w:ind w:left="993" w:hanging="284"/>
      </w:pPr>
      <w:r>
        <w:t>aktivní službu (např. přístup ke službě datového okruhu nebo jiný přístup k nasvícenému vláknu).</w:t>
      </w:r>
    </w:p>
    <w:p w14:paraId="02870A5E" w14:textId="77777777" w:rsidR="00290298" w:rsidRDefault="00FD2D52">
      <w:pPr>
        <w:pStyle w:val="Style1"/>
        <w:numPr>
          <w:ilvl w:val="0"/>
          <w:numId w:val="23"/>
        </w:numPr>
        <w:ind w:left="425" w:hanging="425"/>
      </w:pPr>
      <w:r>
        <w:t>Minimální doba zajištění velkoobchodního přístupu je následující:</w:t>
      </w:r>
    </w:p>
    <w:tbl>
      <w:tblPr>
        <w:tblW w:w="9349" w:type="dxa"/>
        <w:tblInd w:w="279" w:type="dxa"/>
        <w:tblCellMar>
          <w:left w:w="10" w:type="dxa"/>
          <w:right w:w="10" w:type="dxa"/>
        </w:tblCellMar>
        <w:tblLook w:val="0000" w:firstRow="0" w:lastRow="0" w:firstColumn="0" w:lastColumn="0" w:noHBand="0" w:noVBand="0"/>
      </w:tblPr>
      <w:tblGrid>
        <w:gridCol w:w="5103"/>
        <w:gridCol w:w="4246"/>
      </w:tblGrid>
      <w:tr w:rsidR="00290298" w14:paraId="08DAF69B" w14:textId="77777777" w:rsidTr="0DB4B278">
        <w:trPr>
          <w:trHeight w:val="1345"/>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A5585F" w14:textId="77777777" w:rsidR="00290298" w:rsidRDefault="00FD2D52">
            <w:pPr>
              <w:pStyle w:val="Style1"/>
              <w:numPr>
                <w:ilvl w:val="0"/>
                <w:numId w:val="0"/>
              </w:numPr>
              <w:ind w:left="1068" w:hanging="360"/>
              <w:jc w:val="center"/>
            </w:pPr>
            <w:r>
              <w:t xml:space="preserve">Pasivní přístup ke sloupům/stožárům/věžím a </w:t>
            </w:r>
            <w:r>
              <w:br/>
            </w:r>
            <w:proofErr w:type="spellStart"/>
            <w:r>
              <w:t>rooftopům</w:t>
            </w:r>
            <w:proofErr w:type="spellEnd"/>
            <w:r w:rsidR="009E2304">
              <w:t xml:space="preserve"> vč. na nich umístěných nosičů</w:t>
            </w:r>
            <w:r>
              <w:t xml:space="preserve">, přístup ke </w:t>
            </w:r>
            <w:proofErr w:type="spellStart"/>
            <w:r>
              <w:t>kabelovodům</w:t>
            </w:r>
            <w:proofErr w:type="spellEnd"/>
            <w:r w:rsidR="009E2304">
              <w:t xml:space="preserve"> nebo chráničkám, přístup</w:t>
            </w:r>
            <w:r>
              <w:t xml:space="preserve"> </w:t>
            </w:r>
            <w:r w:rsidR="009E2304">
              <w:t>k</w:t>
            </w:r>
            <w:r>
              <w:t xml:space="preserve"> nenasvíceným vláknům, zajištění prostoru v kontejneru včetně elektrického napájení a volného přístupu</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BEC0A" w14:textId="2916A0B4" w:rsidR="00290298" w:rsidRDefault="00FD2D52" w:rsidP="0DB4B278">
            <w:pPr>
              <w:pStyle w:val="Style1"/>
              <w:numPr>
                <w:ilvl w:val="0"/>
                <w:numId w:val="0"/>
              </w:numPr>
              <w:ind w:left="1068" w:hanging="360"/>
              <w:jc w:val="center"/>
              <w:rPr>
                <w:rStyle w:val="normaltextrun"/>
                <w:rFonts w:cs="Calibri"/>
              </w:rPr>
            </w:pPr>
            <w:bookmarkStart w:id="0" w:name="_Hlk126847673"/>
            <w:r w:rsidRPr="0DB4B278">
              <w:rPr>
                <w:rStyle w:val="normaltextrun"/>
                <w:rFonts w:cs="Calibri"/>
              </w:rPr>
              <w:t>není časově omezen</w:t>
            </w:r>
            <w:bookmarkEnd w:id="0"/>
            <w:r w:rsidR="00D72620" w:rsidRPr="0DB4B278">
              <w:rPr>
                <w:rStyle w:val="normaltextrun"/>
                <w:rFonts w:cs="Calibri"/>
              </w:rPr>
              <w:t xml:space="preserve"> (tzn. po dobu životnosti příslušných prvků)</w:t>
            </w:r>
          </w:p>
        </w:tc>
      </w:tr>
      <w:tr w:rsidR="00290298" w14:paraId="3B251B6D" w14:textId="77777777" w:rsidTr="0DB4B278">
        <w:trPr>
          <w:trHeight w:val="83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3349E9" w14:textId="77777777" w:rsidR="00290298" w:rsidRDefault="00FD2D52">
            <w:pPr>
              <w:pStyle w:val="Style1"/>
              <w:numPr>
                <w:ilvl w:val="0"/>
                <w:numId w:val="0"/>
              </w:numPr>
              <w:ind w:left="1068" w:hanging="360"/>
              <w:jc w:val="center"/>
            </w:pPr>
            <w:r>
              <w:t xml:space="preserve">Aktivní přístup v podobě služby </w:t>
            </w:r>
            <w:r w:rsidR="00FB7BF4">
              <w:t xml:space="preserve">roamingu, </w:t>
            </w:r>
            <w:r w:rsidR="00273AB5">
              <w:t xml:space="preserve">služby </w:t>
            </w:r>
            <w:r>
              <w:t>datového okruhu nebo jiný přístup k nasvícenému vláknu</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A752EC" w14:textId="6CBFC2E2" w:rsidR="00290298" w:rsidRDefault="00FD2D52">
            <w:pPr>
              <w:pStyle w:val="Style1"/>
              <w:numPr>
                <w:ilvl w:val="0"/>
                <w:numId w:val="0"/>
              </w:numPr>
              <w:ind w:left="1068" w:hanging="360"/>
              <w:jc w:val="center"/>
            </w:pPr>
            <w:r w:rsidRPr="0DB4B278">
              <w:rPr>
                <w:rStyle w:val="normaltextrun"/>
                <w:rFonts w:cs="Calibri"/>
              </w:rPr>
              <w:t>po dobu</w:t>
            </w:r>
            <w:r w:rsidR="00610990" w:rsidRPr="0DB4B278">
              <w:rPr>
                <w:rStyle w:val="normaltextrun"/>
                <w:rFonts w:cs="Calibri"/>
              </w:rPr>
              <w:t xml:space="preserve"> udržitelnosti projektu</w:t>
            </w:r>
            <w:r w:rsidRPr="0DB4B278">
              <w:rPr>
                <w:rStyle w:val="normaltextrun"/>
                <w:rFonts w:cs="Calibri"/>
              </w:rPr>
              <w:t xml:space="preserve"> </w:t>
            </w:r>
            <w:r w:rsidR="00610990" w:rsidRPr="0DB4B278">
              <w:rPr>
                <w:rStyle w:val="normaltextrun"/>
                <w:rFonts w:cs="Calibri"/>
              </w:rPr>
              <w:t>(</w:t>
            </w:r>
            <w:r w:rsidR="003C5954" w:rsidRPr="00A40E8E">
              <w:rPr>
                <w:rStyle w:val="normaltextrun"/>
                <w:rFonts w:cs="Calibri"/>
              </w:rPr>
              <w:t>10</w:t>
            </w:r>
            <w:r w:rsidRPr="0DB4B278">
              <w:rPr>
                <w:rStyle w:val="normaltextrun"/>
                <w:rFonts w:cs="Calibri"/>
              </w:rPr>
              <w:t xml:space="preserve"> let od uvedení do provozu</w:t>
            </w:r>
            <w:r w:rsidR="00610990" w:rsidRPr="0DB4B278">
              <w:rPr>
                <w:rStyle w:val="normaltextrun"/>
                <w:rFonts w:cs="Calibri"/>
              </w:rPr>
              <w:t>)</w:t>
            </w:r>
          </w:p>
        </w:tc>
      </w:tr>
    </w:tbl>
    <w:p w14:paraId="1999E976" w14:textId="77777777" w:rsidR="00290298" w:rsidRDefault="00290298">
      <w:pPr>
        <w:pStyle w:val="Style1"/>
        <w:numPr>
          <w:ilvl w:val="0"/>
          <w:numId w:val="0"/>
        </w:numPr>
        <w:ind w:left="1068" w:hanging="360"/>
      </w:pPr>
    </w:p>
    <w:p w14:paraId="409E0492" w14:textId="77777777" w:rsidR="00290298" w:rsidRDefault="00FD2D52">
      <w:pPr>
        <w:pStyle w:val="Style1"/>
        <w:numPr>
          <w:ilvl w:val="0"/>
          <w:numId w:val="23"/>
        </w:numPr>
        <w:ind w:left="425" w:hanging="425"/>
      </w:pPr>
      <w:r>
        <w:t xml:space="preserve">Pro vyloučení pochybností, všechny velkoobchodní povinnosti vyplývající z přídělů práv na využití rádiových kmitočtů (např. přístup MVNO – virtuálních mobilních operátorů, zajištění PPDR komunikace) platí i pro základnové stanice podpořené z veřejných zdrojů v případě, pokud na nich budou poskytovány služby v rádiových kmitočtech, na které se daná povinnost vyplývající z přídělu rádiových kmitočtů váže. </w:t>
      </w:r>
    </w:p>
    <w:p w14:paraId="0922316E" w14:textId="77777777" w:rsidR="00290298" w:rsidRDefault="00FD2D52">
      <w:pPr>
        <w:pStyle w:val="Style1"/>
        <w:numPr>
          <w:ilvl w:val="0"/>
          <w:numId w:val="23"/>
        </w:numPr>
        <w:ind w:left="425" w:hanging="425"/>
        <w:rPr>
          <w:b/>
        </w:rPr>
      </w:pPr>
      <w:r>
        <w:rPr>
          <w:b/>
        </w:rPr>
        <w:t>Příjemce dotace zpracuje a zveřejní referenční nabídku podle podmínek stanovených dále.</w:t>
      </w:r>
    </w:p>
    <w:p w14:paraId="7FCEFB02" w14:textId="77777777" w:rsidR="00290298" w:rsidRDefault="0040722E" w:rsidP="0040722E">
      <w:pPr>
        <w:pStyle w:val="Style1"/>
        <w:numPr>
          <w:ilvl w:val="0"/>
          <w:numId w:val="23"/>
        </w:numPr>
        <w:ind w:left="425" w:hanging="425"/>
      </w:pPr>
      <w:bookmarkStart w:id="1" w:name="_Hlk128740361"/>
      <w:r w:rsidRPr="0040722E">
        <w:t xml:space="preserve">Povinnosti poskytnout </w:t>
      </w:r>
      <w:r>
        <w:t xml:space="preserve">velkoobchodního </w:t>
      </w:r>
      <w:r w:rsidRPr="0040722E">
        <w:t>přístup</w:t>
      </w:r>
      <w:r>
        <w:t xml:space="preserve">u musí být zajištěn </w:t>
      </w:r>
      <w:r w:rsidRPr="0040722E">
        <w:t>nezávisle na změně vlastnických vztahů, na správě nebo provozu dotované sítě.</w:t>
      </w:r>
      <w:bookmarkEnd w:id="1"/>
    </w:p>
    <w:p w14:paraId="428088D1" w14:textId="77777777" w:rsidR="0040722E" w:rsidRDefault="0040722E">
      <w:pPr>
        <w:pStyle w:val="Style1"/>
        <w:numPr>
          <w:ilvl w:val="0"/>
          <w:numId w:val="0"/>
        </w:numPr>
        <w:ind w:left="1068" w:hanging="360"/>
      </w:pPr>
    </w:p>
    <w:p w14:paraId="580D94F6" w14:textId="77777777" w:rsidR="00290298" w:rsidRDefault="00290298">
      <w:pPr>
        <w:pStyle w:val="Style1"/>
        <w:numPr>
          <w:ilvl w:val="0"/>
          <w:numId w:val="0"/>
        </w:numPr>
        <w:ind w:left="1068" w:hanging="360"/>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7637E403" w14:textId="77777777">
        <w:tc>
          <w:tcPr>
            <w:tcW w:w="9775" w:type="dxa"/>
            <w:shd w:val="clear" w:color="auto" w:fill="auto"/>
            <w:tcMar>
              <w:top w:w="0" w:type="dxa"/>
              <w:left w:w="108" w:type="dxa"/>
              <w:bottom w:w="0" w:type="dxa"/>
              <w:right w:w="108" w:type="dxa"/>
            </w:tcMar>
          </w:tcPr>
          <w:p w14:paraId="1C1895CF" w14:textId="77777777" w:rsidR="00290298" w:rsidRDefault="00FD2D52">
            <w:pPr>
              <w:shd w:val="clear" w:color="auto" w:fill="D9E2F3"/>
              <w:spacing w:before="120" w:after="120" w:line="276" w:lineRule="auto"/>
              <w:ind w:left="482" w:hanging="425"/>
            </w:pPr>
            <w:r>
              <w:rPr>
                <w:rFonts w:eastAsia="Calibri" w:cs="Calibri"/>
                <w:b/>
                <w:sz w:val="24"/>
              </w:rPr>
              <w:t xml:space="preserve">2. </w:t>
            </w:r>
            <w:r>
              <w:rPr>
                <w:rFonts w:eastAsia="Calibri" w:cs="Calibri"/>
                <w:b/>
                <w:sz w:val="24"/>
              </w:rPr>
              <w:tab/>
              <w:t>Referenční (velkoobchodní) nabídka</w:t>
            </w:r>
          </w:p>
        </w:tc>
      </w:tr>
    </w:tbl>
    <w:p w14:paraId="593341AC" w14:textId="77777777" w:rsidR="00290298" w:rsidRDefault="00FD2D52">
      <w:pPr>
        <w:pStyle w:val="Style1"/>
        <w:numPr>
          <w:ilvl w:val="0"/>
          <w:numId w:val="23"/>
        </w:numPr>
        <w:ind w:left="425" w:hanging="425"/>
      </w:pPr>
      <w:r>
        <w:rPr>
          <w:rFonts w:eastAsia="Calibri" w:cs="Calibri"/>
        </w:rPr>
        <w:t>P</w:t>
      </w:r>
      <w:r>
        <w:t>říjemce dotace umožní</w:t>
      </w:r>
      <w:r>
        <w:rPr>
          <w:rFonts w:eastAsia="Calibri" w:cs="Calibri"/>
        </w:rPr>
        <w:t xml:space="preserve"> </w:t>
      </w:r>
      <w:r>
        <w:t>Žadateli o</w:t>
      </w:r>
      <w:r>
        <w:rPr>
          <w:rFonts w:eastAsia="Calibri" w:cs="Calibri"/>
        </w:rPr>
        <w:t xml:space="preserve"> </w:t>
      </w:r>
      <w:r>
        <w:t>přístup</w:t>
      </w:r>
      <w:r>
        <w:rPr>
          <w:rFonts w:eastAsia="Calibri" w:cs="Calibri"/>
        </w:rPr>
        <w:t xml:space="preserve"> </w:t>
      </w:r>
      <w:r>
        <w:t>využít</w:t>
      </w:r>
      <w:r>
        <w:rPr>
          <w:rFonts w:eastAsia="Calibri" w:cs="Calibri"/>
        </w:rPr>
        <w:t xml:space="preserve"> </w:t>
      </w:r>
      <w:r>
        <w:t>účinný přístup</w:t>
      </w:r>
      <w:r>
        <w:rPr>
          <w:rFonts w:eastAsia="Calibri" w:cs="Calibri"/>
        </w:rPr>
        <w:t xml:space="preserve"> k </w:t>
      </w:r>
      <w:r>
        <w:t>podpořené infrastruktuře</w:t>
      </w:r>
      <w:r>
        <w:rPr>
          <w:rFonts w:eastAsia="Calibri" w:cs="Calibri"/>
        </w:rPr>
        <w:t xml:space="preserve"> </w:t>
      </w:r>
      <w:r>
        <w:t>za předem jasně deklarovaných podmínek</w:t>
      </w:r>
      <w:r>
        <w:rPr>
          <w:rFonts w:eastAsia="Calibri" w:cs="Calibri"/>
        </w:rPr>
        <w:t xml:space="preserve"> </w:t>
      </w:r>
      <w:r>
        <w:t>za účelem poskytování vlastních veřejně dostupných služeb elektronických komunikací</w:t>
      </w:r>
      <w:r>
        <w:rPr>
          <w:rFonts w:eastAsia="Calibri" w:cs="Calibri"/>
        </w:rPr>
        <w:t xml:space="preserve">. </w:t>
      </w:r>
    </w:p>
    <w:p w14:paraId="1E6B439F" w14:textId="77777777" w:rsidR="00290298" w:rsidRDefault="00FD2D52" w:rsidP="00F12FD5">
      <w:pPr>
        <w:pStyle w:val="Style1"/>
        <w:numPr>
          <w:ilvl w:val="0"/>
          <w:numId w:val="0"/>
        </w:numPr>
        <w:ind w:left="425" w:firstLine="1"/>
      </w:pPr>
      <w:r>
        <w:t>Referenční nabídku Příjemce dotace zpracuje v rozsahu a formě, a zveřejní jí podle požadavků vyhlášky č. 51/2022 Sb., o rozsahu, formě a způsobu zveřejňování informací o přístupu nebo propojení, ve znění pozdějších změn. Referenční nabídku Příjemce dotace zveřejní jako veřejný příslib v podobě vzorového návrhu smlouvy.</w:t>
      </w:r>
    </w:p>
    <w:p w14:paraId="140DDFF7" w14:textId="77777777" w:rsidR="00290298" w:rsidRDefault="00290298">
      <w:pPr>
        <w:pStyle w:val="Style1"/>
        <w:numPr>
          <w:ilvl w:val="0"/>
          <w:numId w:val="0"/>
        </w:numPr>
        <w:ind w:left="425" w:hanging="360"/>
        <w:rPr>
          <w:rFonts w:eastAsia="Calibri" w:cs="Calibri"/>
        </w:rPr>
      </w:pPr>
    </w:p>
    <w:p w14:paraId="7355B8DB" w14:textId="77777777" w:rsidR="00290298" w:rsidRDefault="00FD2D52">
      <w:pPr>
        <w:spacing w:after="76"/>
        <w:ind w:left="425" w:hanging="425"/>
      </w:pPr>
      <w:r>
        <w:rPr>
          <w:color w:val="000000"/>
          <w:sz w:val="24"/>
        </w:rPr>
        <w:t>2.1</w:t>
      </w:r>
      <w:r>
        <w:rPr>
          <w:color w:val="000000"/>
          <w:sz w:val="24"/>
        </w:rPr>
        <w:tab/>
      </w:r>
      <w:r>
        <w:rPr>
          <w:color w:val="000000"/>
          <w:sz w:val="24"/>
          <w:u w:val="single"/>
        </w:rPr>
        <w:t>Náležitosti referenční nabídky</w:t>
      </w:r>
    </w:p>
    <w:p w14:paraId="3AA19741" w14:textId="77777777" w:rsidR="00290298" w:rsidRDefault="00FD2D52">
      <w:pPr>
        <w:pStyle w:val="Style1"/>
        <w:numPr>
          <w:ilvl w:val="0"/>
          <w:numId w:val="23"/>
        </w:numPr>
        <w:ind w:left="425" w:hanging="425"/>
      </w:pPr>
      <w:r>
        <w:t xml:space="preserve">Referenční nabídka pro každý druh přístupu podle </w:t>
      </w:r>
      <w:r>
        <w:rPr>
          <w:rFonts w:eastAsia="Calibri" w:cs="Calibri"/>
        </w:rPr>
        <w:t xml:space="preserve">kapitoly I. tohoto dokumentu </w:t>
      </w:r>
      <w:r>
        <w:t>musí obsahovat</w:t>
      </w:r>
      <w:r>
        <w:rPr>
          <w:rFonts w:eastAsia="Calibri" w:cs="Calibri"/>
        </w:rPr>
        <w:t xml:space="preserve"> </w:t>
      </w:r>
      <w:r>
        <w:t>nejméně:</w:t>
      </w:r>
    </w:p>
    <w:p w14:paraId="64346F74" w14:textId="77777777" w:rsidR="00290298" w:rsidRDefault="00FD2D52">
      <w:pPr>
        <w:numPr>
          <w:ilvl w:val="0"/>
          <w:numId w:val="26"/>
        </w:numPr>
        <w:overflowPunct/>
        <w:autoSpaceDE/>
        <w:spacing w:after="112"/>
        <w:ind w:left="709" w:right="295" w:hanging="284"/>
        <w:jc w:val="both"/>
        <w:textAlignment w:val="auto"/>
      </w:pPr>
      <w:r>
        <w:t>Identifikaci poskytovatele služby přístupu;</w:t>
      </w:r>
    </w:p>
    <w:p w14:paraId="4AA4A2FC" w14:textId="77777777" w:rsidR="00290298" w:rsidRDefault="00FD2D52">
      <w:pPr>
        <w:numPr>
          <w:ilvl w:val="0"/>
          <w:numId w:val="26"/>
        </w:numPr>
        <w:overflowPunct/>
        <w:autoSpaceDE/>
        <w:spacing w:after="23"/>
        <w:ind w:left="709" w:right="295" w:hanging="284"/>
        <w:jc w:val="both"/>
        <w:textAlignment w:val="auto"/>
      </w:pPr>
      <w:r>
        <w:t>Předmět nabídky (minimálně</w:t>
      </w:r>
      <w:r>
        <w:rPr>
          <w:rFonts w:eastAsia="Calibri" w:cs="Calibri"/>
        </w:rPr>
        <w:t xml:space="preserve"> s </w:t>
      </w:r>
      <w:r>
        <w:t xml:space="preserve">uvedením </w:t>
      </w:r>
      <w:r>
        <w:rPr>
          <w:rFonts w:eastAsia="Calibri" w:cs="Calibri"/>
        </w:rPr>
        <w:t xml:space="preserve">identifikace </w:t>
      </w:r>
      <w:r>
        <w:t>dotačního titulu</w:t>
      </w:r>
      <w:r>
        <w:rPr>
          <w:rFonts w:eastAsia="Calibri" w:cs="Calibri"/>
        </w:rPr>
        <w:t xml:space="preserve"> a </w:t>
      </w:r>
      <w:r>
        <w:t>délky platnosti nabídky);</w:t>
      </w:r>
    </w:p>
    <w:p w14:paraId="290D8254" w14:textId="77777777" w:rsidR="00290298" w:rsidRDefault="00FD2D52">
      <w:pPr>
        <w:numPr>
          <w:ilvl w:val="0"/>
          <w:numId w:val="26"/>
        </w:numPr>
        <w:overflowPunct/>
        <w:autoSpaceDE/>
        <w:spacing w:after="23"/>
        <w:ind w:left="709" w:right="295" w:hanging="284"/>
        <w:jc w:val="both"/>
        <w:textAlignment w:val="auto"/>
      </w:pPr>
      <w:r>
        <w:t>Technické specifikace, které obsahují:</w:t>
      </w:r>
    </w:p>
    <w:p w14:paraId="064D8FC2" w14:textId="77777777" w:rsidR="00290298" w:rsidRDefault="00FD2D52">
      <w:pPr>
        <w:numPr>
          <w:ilvl w:val="1"/>
          <w:numId w:val="26"/>
        </w:numPr>
        <w:overflowPunct/>
        <w:autoSpaceDE/>
        <w:spacing w:after="21"/>
        <w:ind w:left="993" w:right="295" w:hanging="284"/>
        <w:jc w:val="both"/>
        <w:textAlignment w:val="auto"/>
      </w:pPr>
      <w:r>
        <w:rPr>
          <w:rFonts w:eastAsia="Calibri" w:cs="Calibri"/>
        </w:rPr>
        <w:t xml:space="preserve">specifikaci </w:t>
      </w:r>
      <w:r>
        <w:t>velkoobchodní služby</w:t>
      </w:r>
      <w:r>
        <w:rPr>
          <w:rFonts w:eastAsia="Calibri" w:cs="Calibri"/>
        </w:rPr>
        <w:t xml:space="preserve"> s </w:t>
      </w:r>
      <w:r>
        <w:t>popisem dostupných kapacit</w:t>
      </w:r>
      <w:r>
        <w:rPr>
          <w:rFonts w:eastAsia="Calibri" w:cs="Calibri"/>
        </w:rPr>
        <w:t>,</w:t>
      </w:r>
    </w:p>
    <w:p w14:paraId="6890C4A4" w14:textId="77777777" w:rsidR="00290298" w:rsidRDefault="00FD2D52">
      <w:pPr>
        <w:numPr>
          <w:ilvl w:val="1"/>
          <w:numId w:val="26"/>
        </w:numPr>
        <w:overflowPunct/>
        <w:autoSpaceDE/>
        <w:spacing w:after="25"/>
        <w:ind w:left="993" w:right="295" w:hanging="284"/>
        <w:jc w:val="both"/>
        <w:textAlignment w:val="auto"/>
      </w:pPr>
      <w:r>
        <w:t>přesné umístění přístupových bodů včetně adres</w:t>
      </w:r>
      <w:r>
        <w:rPr>
          <w:rFonts w:eastAsia="Calibri" w:cs="Calibri"/>
        </w:rPr>
        <w:t xml:space="preserve"> </w:t>
      </w:r>
      <w:r>
        <w:t>nebo geografických souřadnic tam,</w:t>
      </w:r>
      <w:r>
        <w:rPr>
          <w:rFonts w:eastAsia="Calibri" w:cs="Calibri"/>
        </w:rPr>
        <w:t xml:space="preserve"> kde je to n</w:t>
      </w:r>
      <w:r>
        <w:t>utné pro jednoznačnou identifik</w:t>
      </w:r>
      <w:r>
        <w:rPr>
          <w:rFonts w:eastAsia="Calibri" w:cs="Calibri"/>
        </w:rPr>
        <w:t>aci,</w:t>
      </w:r>
    </w:p>
    <w:p w14:paraId="14D4A624" w14:textId="77777777" w:rsidR="00290298" w:rsidRDefault="00FD2D52">
      <w:pPr>
        <w:numPr>
          <w:ilvl w:val="1"/>
          <w:numId w:val="26"/>
        </w:numPr>
        <w:overflowPunct/>
        <w:autoSpaceDE/>
        <w:spacing w:after="21"/>
        <w:ind w:left="993" w:right="295" w:hanging="284"/>
        <w:jc w:val="both"/>
        <w:textAlignment w:val="auto"/>
      </w:pPr>
      <w:r>
        <w:t>technické podmínky přístupu, včetně specifikace zařízení a</w:t>
      </w:r>
      <w:r>
        <w:rPr>
          <w:rFonts w:eastAsia="Calibri" w:cs="Calibri"/>
        </w:rPr>
        <w:t xml:space="preserve"> </w:t>
      </w:r>
      <w:r>
        <w:t>rozhraní pro přístup,</w:t>
      </w:r>
    </w:p>
    <w:p w14:paraId="3CF66F65" w14:textId="77777777" w:rsidR="00290298" w:rsidRDefault="00FD2D52">
      <w:pPr>
        <w:numPr>
          <w:ilvl w:val="1"/>
          <w:numId w:val="26"/>
        </w:numPr>
        <w:overflowPunct/>
        <w:autoSpaceDE/>
        <w:spacing w:after="22"/>
        <w:ind w:left="993" w:right="295" w:hanging="284"/>
        <w:jc w:val="both"/>
        <w:textAlignment w:val="auto"/>
      </w:pPr>
      <w:r>
        <w:t>určení síťové hierarchie přístupu,</w:t>
      </w:r>
    </w:p>
    <w:p w14:paraId="551C57FF" w14:textId="77777777" w:rsidR="00290298" w:rsidRDefault="00FD2D52">
      <w:pPr>
        <w:numPr>
          <w:ilvl w:val="1"/>
          <w:numId w:val="26"/>
        </w:numPr>
        <w:overflowPunct/>
        <w:autoSpaceDE/>
        <w:spacing w:after="25"/>
        <w:ind w:left="993" w:right="295" w:hanging="284"/>
        <w:jc w:val="both"/>
        <w:textAlignment w:val="auto"/>
      </w:pPr>
      <w:r>
        <w:t>podmínky a</w:t>
      </w:r>
      <w:r>
        <w:rPr>
          <w:rFonts w:eastAsia="Calibri" w:cs="Calibri"/>
        </w:rPr>
        <w:t xml:space="preserve"> </w:t>
      </w:r>
      <w:r>
        <w:t>možnosti společného umisťování (kolokace)</w:t>
      </w:r>
      <w:r>
        <w:rPr>
          <w:rFonts w:eastAsia="Calibri" w:cs="Calibri"/>
        </w:rPr>
        <w:t xml:space="preserve"> </w:t>
      </w:r>
      <w:r>
        <w:t>nebo možnosti</w:t>
      </w:r>
      <w:r>
        <w:rPr>
          <w:rFonts w:eastAsia="Calibri" w:cs="Calibri"/>
        </w:rPr>
        <w:t xml:space="preserve"> </w:t>
      </w:r>
      <w:r>
        <w:t>přístupu</w:t>
      </w:r>
      <w:r>
        <w:rPr>
          <w:rFonts w:eastAsia="Calibri" w:cs="Calibri"/>
        </w:rPr>
        <w:t xml:space="preserve"> k </w:t>
      </w:r>
      <w:r>
        <w:t xml:space="preserve">přístupovému </w:t>
      </w:r>
      <w:r>
        <w:rPr>
          <w:rFonts w:eastAsia="Calibri" w:cs="Calibri"/>
        </w:rPr>
        <w:t xml:space="preserve">bodu pro </w:t>
      </w:r>
      <w:r>
        <w:t>možnost napojení</w:t>
      </w:r>
      <w:r>
        <w:rPr>
          <w:rFonts w:eastAsia="Calibri" w:cs="Calibri"/>
        </w:rPr>
        <w:t>,</w:t>
      </w:r>
    </w:p>
    <w:p w14:paraId="3B68B777" w14:textId="77777777" w:rsidR="00290298" w:rsidRDefault="00FD2D52">
      <w:pPr>
        <w:numPr>
          <w:ilvl w:val="1"/>
          <w:numId w:val="26"/>
        </w:numPr>
        <w:overflowPunct/>
        <w:autoSpaceDE/>
        <w:spacing w:after="21"/>
        <w:ind w:left="993" w:right="295" w:hanging="284"/>
        <w:jc w:val="both"/>
        <w:textAlignment w:val="auto"/>
      </w:pPr>
      <w:r>
        <w:lastRenderedPageBreak/>
        <w:t>způsoby a</w:t>
      </w:r>
      <w:r>
        <w:rPr>
          <w:rFonts w:eastAsia="Calibri" w:cs="Calibri"/>
        </w:rPr>
        <w:t xml:space="preserve"> </w:t>
      </w:r>
      <w:r>
        <w:t>podmínky pravidelné údržby sítě a</w:t>
      </w:r>
      <w:r>
        <w:rPr>
          <w:rFonts w:eastAsia="Calibri" w:cs="Calibri"/>
        </w:rPr>
        <w:t xml:space="preserve"> </w:t>
      </w:r>
      <w:r>
        <w:t>souvisejících zařízení,</w:t>
      </w:r>
    </w:p>
    <w:p w14:paraId="3B53244D" w14:textId="77777777" w:rsidR="00290298" w:rsidRDefault="00FD2D52">
      <w:pPr>
        <w:numPr>
          <w:ilvl w:val="1"/>
          <w:numId w:val="26"/>
        </w:numPr>
        <w:overflowPunct/>
        <w:autoSpaceDE/>
        <w:spacing w:after="21"/>
        <w:ind w:left="993" w:right="295" w:hanging="284"/>
        <w:jc w:val="both"/>
        <w:textAlignment w:val="auto"/>
      </w:pPr>
      <w:r>
        <w:t>podmínky testování a</w:t>
      </w:r>
      <w:r>
        <w:rPr>
          <w:rFonts w:eastAsia="Calibri" w:cs="Calibri"/>
        </w:rPr>
        <w:t xml:space="preserve"> </w:t>
      </w:r>
      <w:r>
        <w:t>zkušebního provozu</w:t>
      </w:r>
      <w:r>
        <w:rPr>
          <w:rFonts w:eastAsia="Calibri" w:cs="Calibri"/>
        </w:rPr>
        <w:t>,</w:t>
      </w:r>
    </w:p>
    <w:p w14:paraId="7FA4702A" w14:textId="77777777" w:rsidR="00290298" w:rsidRDefault="00FD2D52">
      <w:pPr>
        <w:numPr>
          <w:ilvl w:val="1"/>
          <w:numId w:val="26"/>
        </w:numPr>
        <w:overflowPunct/>
        <w:autoSpaceDE/>
        <w:spacing w:after="19"/>
        <w:ind w:left="993" w:right="295" w:hanging="284"/>
        <w:jc w:val="both"/>
        <w:textAlignment w:val="auto"/>
      </w:pPr>
      <w:r>
        <w:t>technické parametry zpřístupněné infrastruktury</w:t>
      </w:r>
      <w:r>
        <w:rPr>
          <w:rFonts w:eastAsia="Calibri" w:cs="Calibri"/>
        </w:rPr>
        <w:t>.</w:t>
      </w:r>
    </w:p>
    <w:p w14:paraId="6270056C" w14:textId="77777777" w:rsidR="00290298" w:rsidRDefault="00FD2D52">
      <w:pPr>
        <w:numPr>
          <w:ilvl w:val="1"/>
          <w:numId w:val="26"/>
        </w:numPr>
        <w:overflowPunct/>
        <w:autoSpaceDE/>
        <w:spacing w:after="19"/>
        <w:ind w:left="993" w:right="295" w:hanging="284"/>
        <w:jc w:val="both"/>
        <w:textAlignment w:val="auto"/>
      </w:pPr>
      <w:r>
        <w:t>lhůty pro zřízení služeb.</w:t>
      </w:r>
    </w:p>
    <w:p w14:paraId="7E8CFE56" w14:textId="77777777" w:rsidR="00290298" w:rsidRDefault="00FD2D52">
      <w:pPr>
        <w:numPr>
          <w:ilvl w:val="0"/>
          <w:numId w:val="26"/>
        </w:numPr>
        <w:overflowPunct/>
        <w:autoSpaceDE/>
        <w:spacing w:after="23"/>
        <w:ind w:left="709" w:right="295" w:hanging="284"/>
        <w:jc w:val="both"/>
        <w:textAlignment w:val="auto"/>
      </w:pPr>
      <w:r>
        <w:t>Definici ukazatelů kvality služeb</w:t>
      </w:r>
      <w:r>
        <w:rPr>
          <w:rFonts w:eastAsia="Calibri" w:cs="Calibri"/>
        </w:rPr>
        <w:t xml:space="preserve">, a </w:t>
      </w:r>
      <w:r>
        <w:t xml:space="preserve">to nejméně pro: </w:t>
      </w:r>
    </w:p>
    <w:p w14:paraId="02061DFC" w14:textId="77777777" w:rsidR="00290298" w:rsidRDefault="00FD2D52">
      <w:pPr>
        <w:numPr>
          <w:ilvl w:val="1"/>
          <w:numId w:val="27"/>
        </w:numPr>
        <w:overflowPunct/>
        <w:autoSpaceDE/>
        <w:spacing w:after="21"/>
        <w:ind w:left="993" w:right="295" w:hanging="284"/>
        <w:jc w:val="both"/>
        <w:textAlignment w:val="auto"/>
      </w:pPr>
      <w:r>
        <w:rPr>
          <w:rFonts w:eastAsia="Calibri" w:cs="Calibri"/>
        </w:rPr>
        <w:t>do</w:t>
      </w:r>
      <w:r>
        <w:t>bu zřízení velkoobchodní služby a</w:t>
      </w:r>
      <w:r>
        <w:rPr>
          <w:rFonts w:eastAsia="Calibri" w:cs="Calibri"/>
        </w:rPr>
        <w:t xml:space="preserve"> </w:t>
      </w:r>
      <w:r>
        <w:t>její garanci včetně sankce za nedodržení,</w:t>
      </w:r>
    </w:p>
    <w:p w14:paraId="3FB90006" w14:textId="77777777" w:rsidR="00290298" w:rsidRDefault="00FD2D52">
      <w:pPr>
        <w:numPr>
          <w:ilvl w:val="1"/>
          <w:numId w:val="27"/>
        </w:numPr>
        <w:overflowPunct/>
        <w:autoSpaceDE/>
        <w:spacing w:after="67"/>
        <w:ind w:left="993" w:right="295" w:hanging="284"/>
        <w:jc w:val="both"/>
        <w:textAlignment w:val="auto"/>
      </w:pPr>
      <w:r>
        <w:t>dostupnost velkoobchodní služby a</w:t>
      </w:r>
      <w:r>
        <w:rPr>
          <w:rFonts w:eastAsia="Calibri" w:cs="Calibri"/>
        </w:rPr>
        <w:t xml:space="preserve"> </w:t>
      </w:r>
      <w:r>
        <w:t>její garanci včetně sankce za nedodržení,</w:t>
      </w:r>
    </w:p>
    <w:p w14:paraId="3742B7DB" w14:textId="77777777" w:rsidR="00290298" w:rsidRDefault="00FD2D52">
      <w:pPr>
        <w:numPr>
          <w:ilvl w:val="1"/>
          <w:numId w:val="27"/>
        </w:numPr>
        <w:overflowPunct/>
        <w:autoSpaceDE/>
        <w:spacing w:after="69"/>
        <w:ind w:left="993" w:right="295" w:hanging="284"/>
        <w:jc w:val="both"/>
        <w:textAlignment w:val="auto"/>
      </w:pPr>
      <w:r>
        <w:t>dobu opravy velkoobchodní služby a</w:t>
      </w:r>
      <w:r>
        <w:rPr>
          <w:rFonts w:eastAsia="Calibri" w:cs="Calibri"/>
        </w:rPr>
        <w:t xml:space="preserve"> </w:t>
      </w:r>
      <w:r>
        <w:t>její garanci včetně sankce za nedodržení,</w:t>
      </w:r>
    </w:p>
    <w:p w14:paraId="15941697" w14:textId="77777777" w:rsidR="00290298" w:rsidRDefault="00FD2D52">
      <w:pPr>
        <w:numPr>
          <w:ilvl w:val="1"/>
          <w:numId w:val="27"/>
        </w:numPr>
        <w:overflowPunct/>
        <w:autoSpaceDE/>
        <w:spacing w:after="25"/>
        <w:ind w:left="993" w:right="295" w:hanging="284"/>
        <w:jc w:val="both"/>
        <w:textAlignment w:val="auto"/>
      </w:pPr>
      <w:r>
        <w:t>dobu pro poskytnutí informace o</w:t>
      </w:r>
      <w:r>
        <w:rPr>
          <w:rFonts w:eastAsia="Calibri" w:cs="Calibri"/>
        </w:rPr>
        <w:t xml:space="preserve"> </w:t>
      </w:r>
      <w:r>
        <w:t>volné kapacitě infrastruktury a</w:t>
      </w:r>
      <w:r>
        <w:rPr>
          <w:rFonts w:eastAsia="Calibri" w:cs="Calibri"/>
        </w:rPr>
        <w:t xml:space="preserve"> </w:t>
      </w:r>
      <w:r>
        <w:t>velkoobchodní služby</w:t>
      </w:r>
      <w:r>
        <w:rPr>
          <w:rFonts w:eastAsia="Calibri" w:cs="Calibri"/>
        </w:rPr>
        <w:t xml:space="preserve"> a </w:t>
      </w:r>
      <w:r>
        <w:t>její garanci, včetně sankce za její nedodržení.</w:t>
      </w:r>
    </w:p>
    <w:p w14:paraId="6D336403" w14:textId="77777777" w:rsidR="00290298" w:rsidRDefault="00FD2D52">
      <w:pPr>
        <w:numPr>
          <w:ilvl w:val="0"/>
          <w:numId w:val="26"/>
        </w:numPr>
        <w:overflowPunct/>
        <w:autoSpaceDE/>
        <w:spacing w:after="23"/>
        <w:ind w:left="709" w:right="295" w:hanging="284"/>
        <w:jc w:val="both"/>
        <w:textAlignment w:val="auto"/>
      </w:pPr>
      <w:r>
        <w:rPr>
          <w:rFonts w:eastAsia="Calibri" w:cs="Calibri"/>
        </w:rPr>
        <w:t xml:space="preserve">ceny a </w:t>
      </w:r>
      <w:r>
        <w:t>způsob jejich určení,</w:t>
      </w:r>
    </w:p>
    <w:p w14:paraId="6790BA07" w14:textId="77777777" w:rsidR="00290298" w:rsidRDefault="00FD2D52">
      <w:pPr>
        <w:numPr>
          <w:ilvl w:val="0"/>
          <w:numId w:val="26"/>
        </w:numPr>
        <w:overflowPunct/>
        <w:autoSpaceDE/>
        <w:spacing w:after="23"/>
        <w:ind w:left="709" w:right="295" w:hanging="284"/>
        <w:jc w:val="both"/>
        <w:textAlignment w:val="auto"/>
      </w:pPr>
      <w:r>
        <w:t>smluvní pokuty,</w:t>
      </w:r>
    </w:p>
    <w:p w14:paraId="363D90F6" w14:textId="77777777" w:rsidR="00290298" w:rsidRDefault="00FD2D52">
      <w:pPr>
        <w:numPr>
          <w:ilvl w:val="0"/>
          <w:numId w:val="26"/>
        </w:numPr>
        <w:overflowPunct/>
        <w:autoSpaceDE/>
        <w:spacing w:after="23"/>
        <w:ind w:left="709" w:right="295" w:hanging="284"/>
        <w:jc w:val="both"/>
        <w:textAlignment w:val="auto"/>
      </w:pPr>
      <w:r>
        <w:t>platební podmínky za poskytnuté služby, a to včetně platebních podmínek případných sankcí plynoucích z neplnění uzavřené smlouvy,</w:t>
      </w:r>
    </w:p>
    <w:p w14:paraId="72EEEEDA" w14:textId="77777777" w:rsidR="00290298" w:rsidRDefault="00FD2D52">
      <w:pPr>
        <w:numPr>
          <w:ilvl w:val="0"/>
          <w:numId w:val="26"/>
        </w:numPr>
        <w:overflowPunct/>
        <w:autoSpaceDE/>
        <w:spacing w:after="23"/>
        <w:ind w:left="709" w:right="295" w:hanging="284"/>
        <w:jc w:val="both"/>
        <w:textAlignment w:val="auto"/>
      </w:pPr>
      <w:r>
        <w:t>postup při řešení poruch</w:t>
      </w:r>
      <w:r>
        <w:rPr>
          <w:rStyle w:val="Znakapoznpodarou"/>
        </w:rPr>
        <w:footnoteReference w:id="2"/>
      </w:r>
      <w:r>
        <w:t>,</w:t>
      </w:r>
    </w:p>
    <w:p w14:paraId="534E17F5" w14:textId="77777777" w:rsidR="00290298" w:rsidRDefault="00FD2D52">
      <w:pPr>
        <w:numPr>
          <w:ilvl w:val="0"/>
          <w:numId w:val="26"/>
        </w:numPr>
        <w:overflowPunct/>
        <w:autoSpaceDE/>
        <w:spacing w:after="23"/>
        <w:ind w:left="709" w:right="295" w:hanging="284"/>
        <w:jc w:val="both"/>
        <w:textAlignment w:val="auto"/>
      </w:pPr>
      <w:r>
        <w:t>postup při zajišťování vstupu do objektů, vč. postupů spolupráce obou subjektů,</w:t>
      </w:r>
    </w:p>
    <w:p w14:paraId="75F9E818" w14:textId="77777777" w:rsidR="00290298" w:rsidRDefault="00FD2D52">
      <w:pPr>
        <w:numPr>
          <w:ilvl w:val="0"/>
          <w:numId w:val="26"/>
        </w:numPr>
        <w:overflowPunct/>
        <w:autoSpaceDE/>
        <w:spacing w:after="23"/>
        <w:ind w:left="709" w:right="295" w:hanging="284"/>
        <w:jc w:val="both"/>
        <w:textAlignment w:val="auto"/>
      </w:pPr>
      <w:r>
        <w:t>postupy při spolupráci obou subjektů, a</w:t>
      </w:r>
      <w:r>
        <w:rPr>
          <w:rFonts w:eastAsia="Calibri" w:cs="Calibri"/>
        </w:rPr>
        <w:t xml:space="preserve"> to:</w:t>
      </w:r>
    </w:p>
    <w:p w14:paraId="0F49D59C" w14:textId="77777777" w:rsidR="00290298" w:rsidRDefault="00FD2D52">
      <w:pPr>
        <w:numPr>
          <w:ilvl w:val="1"/>
          <w:numId w:val="28"/>
        </w:numPr>
        <w:overflowPunct/>
        <w:autoSpaceDE/>
        <w:spacing w:after="19"/>
        <w:ind w:left="993" w:right="295" w:hanging="284"/>
        <w:jc w:val="both"/>
        <w:textAlignment w:val="auto"/>
      </w:pPr>
      <w:r>
        <w:rPr>
          <w:rFonts w:eastAsia="Calibri" w:cs="Calibri"/>
        </w:rPr>
        <w:t xml:space="preserve">pro komunikaci a </w:t>
      </w:r>
      <w:r>
        <w:t>způsoby doručování písemností,</w:t>
      </w:r>
    </w:p>
    <w:p w14:paraId="1E9482F0" w14:textId="77777777" w:rsidR="00290298" w:rsidRDefault="00FD2D52">
      <w:pPr>
        <w:numPr>
          <w:ilvl w:val="1"/>
          <w:numId w:val="28"/>
        </w:numPr>
        <w:overflowPunct/>
        <w:autoSpaceDE/>
        <w:spacing w:after="21"/>
        <w:ind w:left="993" w:right="295" w:hanging="284"/>
        <w:jc w:val="both"/>
        <w:textAlignment w:val="auto"/>
      </w:pPr>
      <w:r>
        <w:t>uvedení kontaktních osob,</w:t>
      </w:r>
    </w:p>
    <w:p w14:paraId="426FECAE" w14:textId="77777777" w:rsidR="00290298" w:rsidRDefault="00FD2D52">
      <w:pPr>
        <w:numPr>
          <w:ilvl w:val="1"/>
          <w:numId w:val="28"/>
        </w:numPr>
        <w:overflowPunct/>
        <w:autoSpaceDE/>
        <w:spacing w:after="21"/>
        <w:ind w:left="993" w:right="295" w:hanging="284"/>
        <w:jc w:val="both"/>
        <w:textAlignment w:val="auto"/>
      </w:pPr>
      <w:r>
        <w:t>pro předávání technických a</w:t>
      </w:r>
      <w:r>
        <w:rPr>
          <w:rFonts w:eastAsia="Calibri" w:cs="Calibri"/>
        </w:rPr>
        <w:t xml:space="preserve"> </w:t>
      </w:r>
      <w:r>
        <w:t>provozních údajů,</w:t>
      </w:r>
    </w:p>
    <w:p w14:paraId="5AD7B197" w14:textId="77777777" w:rsidR="00290298" w:rsidRDefault="00FD2D52">
      <w:pPr>
        <w:numPr>
          <w:ilvl w:val="1"/>
          <w:numId w:val="28"/>
        </w:numPr>
        <w:overflowPunct/>
        <w:autoSpaceDE/>
        <w:spacing w:after="21"/>
        <w:ind w:left="993" w:right="295" w:hanging="284"/>
        <w:jc w:val="both"/>
        <w:textAlignment w:val="auto"/>
      </w:pPr>
      <w:r>
        <w:t>pro sjednávání změn ve smlouvě,</w:t>
      </w:r>
    </w:p>
    <w:p w14:paraId="1FC4DAA7" w14:textId="77777777" w:rsidR="00290298" w:rsidRDefault="00FD2D52">
      <w:pPr>
        <w:numPr>
          <w:ilvl w:val="1"/>
          <w:numId w:val="28"/>
        </w:numPr>
        <w:overflowPunct/>
        <w:autoSpaceDE/>
        <w:spacing w:after="21"/>
        <w:ind w:left="993" w:right="295" w:hanging="284"/>
        <w:jc w:val="both"/>
        <w:textAlignment w:val="auto"/>
      </w:pPr>
      <w:r>
        <w:t>pro řešení sporů,</w:t>
      </w:r>
    </w:p>
    <w:p w14:paraId="5E05089D" w14:textId="77777777" w:rsidR="00290298" w:rsidRDefault="00FD2D52">
      <w:pPr>
        <w:numPr>
          <w:ilvl w:val="1"/>
          <w:numId w:val="28"/>
        </w:numPr>
        <w:overflowPunct/>
        <w:autoSpaceDE/>
        <w:spacing w:after="22"/>
        <w:ind w:left="993" w:right="295" w:hanging="284"/>
        <w:jc w:val="both"/>
        <w:textAlignment w:val="auto"/>
      </w:pPr>
      <w:r>
        <w:t>pro zajištění důvěrnosti informací,</w:t>
      </w:r>
    </w:p>
    <w:p w14:paraId="022867F9" w14:textId="77777777" w:rsidR="00290298" w:rsidRDefault="00FD2D52">
      <w:pPr>
        <w:numPr>
          <w:ilvl w:val="1"/>
          <w:numId w:val="28"/>
        </w:numPr>
        <w:overflowPunct/>
        <w:autoSpaceDE/>
        <w:spacing w:after="22"/>
        <w:ind w:left="993" w:right="295" w:hanging="284"/>
        <w:jc w:val="both"/>
        <w:textAlignment w:val="auto"/>
      </w:pPr>
      <w:r>
        <w:t>pro zajištění pohledávek a</w:t>
      </w:r>
      <w:r>
        <w:rPr>
          <w:rFonts w:eastAsia="Calibri" w:cs="Calibri"/>
        </w:rPr>
        <w:t xml:space="preserve"> </w:t>
      </w:r>
      <w:r>
        <w:t>závazků.</w:t>
      </w:r>
    </w:p>
    <w:p w14:paraId="63297560" w14:textId="77777777" w:rsidR="00290298" w:rsidRDefault="00290298">
      <w:pPr>
        <w:pStyle w:val="Style1"/>
        <w:numPr>
          <w:ilvl w:val="0"/>
          <w:numId w:val="0"/>
        </w:numPr>
        <w:ind w:left="1068" w:hanging="360"/>
      </w:pPr>
    </w:p>
    <w:p w14:paraId="4888CD60" w14:textId="77777777" w:rsidR="00290298" w:rsidRDefault="00FD2D52">
      <w:pPr>
        <w:spacing w:after="76"/>
        <w:ind w:left="425" w:hanging="425"/>
      </w:pPr>
      <w:r>
        <w:rPr>
          <w:color w:val="000000"/>
          <w:sz w:val="24"/>
        </w:rPr>
        <w:t>2.2</w:t>
      </w:r>
      <w:r>
        <w:rPr>
          <w:color w:val="000000"/>
          <w:sz w:val="24"/>
        </w:rPr>
        <w:tab/>
      </w:r>
      <w:r>
        <w:rPr>
          <w:color w:val="000000"/>
          <w:sz w:val="24"/>
          <w:u w:val="single"/>
        </w:rPr>
        <w:t>Způsob uveřejnění</w:t>
      </w:r>
    </w:p>
    <w:p w14:paraId="433BC320" w14:textId="77777777" w:rsidR="00290298" w:rsidRDefault="00FD2D52">
      <w:pPr>
        <w:pStyle w:val="Style1"/>
        <w:numPr>
          <w:ilvl w:val="0"/>
          <w:numId w:val="23"/>
        </w:numPr>
        <w:ind w:left="425" w:hanging="425"/>
      </w:pPr>
      <w:r>
        <w:t>Referenční nabídky pro jednotlivé typy přístupu, které budou splňovat obecné náležitosti referenčních nabídek podle těchto Pokynů</w:t>
      </w:r>
      <w:r>
        <w:rPr>
          <w:rFonts w:eastAsia="Calibri" w:cs="Calibri"/>
        </w:rPr>
        <w:t xml:space="preserve">, bude </w:t>
      </w:r>
      <w:r>
        <w:t>Příjemce dotace zveřejňovat způsobem umožňující dálkový přístup na svých internetových stránkách.</w:t>
      </w:r>
    </w:p>
    <w:p w14:paraId="66B98800" w14:textId="77777777" w:rsidR="00290298" w:rsidRDefault="00FD2D52">
      <w:pPr>
        <w:pStyle w:val="Style1"/>
        <w:numPr>
          <w:ilvl w:val="0"/>
          <w:numId w:val="23"/>
        </w:numPr>
        <w:ind w:left="425" w:hanging="425"/>
      </w:pPr>
      <w:r>
        <w:t xml:space="preserve">Příjemce dotace: </w:t>
      </w:r>
    </w:p>
    <w:p w14:paraId="76A35EFC" w14:textId="77777777" w:rsidR="00290298" w:rsidRDefault="00FD2D52">
      <w:pPr>
        <w:pStyle w:val="Style1"/>
        <w:numPr>
          <w:ilvl w:val="1"/>
          <w:numId w:val="25"/>
        </w:numPr>
        <w:ind w:left="709" w:hanging="284"/>
      </w:pPr>
      <w:r>
        <w:t>8 měsíců před zahájením poskytování velkoobchodní nabídky poskytne návrh referenční nabídky Řídícímu orgánu k posouzení;</w:t>
      </w:r>
    </w:p>
    <w:p w14:paraId="747FD477" w14:textId="77777777" w:rsidR="00290298" w:rsidRDefault="00FD2D52">
      <w:pPr>
        <w:pStyle w:val="Style1"/>
        <w:numPr>
          <w:ilvl w:val="1"/>
          <w:numId w:val="25"/>
        </w:numPr>
        <w:ind w:left="709" w:hanging="284"/>
      </w:pPr>
      <w:r>
        <w:t>6 měsíců před zahájením poskytování velkoobchodní nabídky zveřejní referenční nabídku.</w:t>
      </w:r>
    </w:p>
    <w:p w14:paraId="6706E139" w14:textId="77777777" w:rsidR="00290298" w:rsidRDefault="00FD2D52">
      <w:pPr>
        <w:pStyle w:val="Style1"/>
        <w:numPr>
          <w:ilvl w:val="0"/>
          <w:numId w:val="23"/>
        </w:numPr>
        <w:ind w:left="425" w:hanging="425"/>
      </w:pPr>
      <w:r>
        <w:rPr>
          <w:rFonts w:eastAsia="Calibri" w:cs="Calibri"/>
        </w:rPr>
        <w:t>P</w:t>
      </w:r>
      <w:r>
        <w:t>okud se Žadatel</w:t>
      </w:r>
      <w:r>
        <w:rPr>
          <w:rFonts w:eastAsia="Calibri" w:cs="Calibri"/>
        </w:rPr>
        <w:t xml:space="preserve"> o </w:t>
      </w:r>
      <w:r>
        <w:t>přístup</w:t>
      </w:r>
      <w:r>
        <w:rPr>
          <w:rFonts w:eastAsia="Calibri" w:cs="Calibri"/>
        </w:rPr>
        <w:t xml:space="preserve"> </w:t>
      </w:r>
      <w:r>
        <w:t>obrátí na Příjemce dotace s žádostí o</w:t>
      </w:r>
      <w:r>
        <w:rPr>
          <w:rFonts w:eastAsia="Calibri" w:cs="Calibri"/>
        </w:rPr>
        <w:t xml:space="preserve"> </w:t>
      </w:r>
      <w:r>
        <w:t>upřesnění detailních podmínek přístupu v</w:t>
      </w:r>
      <w:r>
        <w:rPr>
          <w:rFonts w:eastAsia="Calibri" w:cs="Calibri"/>
        </w:rPr>
        <w:t xml:space="preserve"> </w:t>
      </w:r>
      <w:r>
        <w:t xml:space="preserve">konkrétním místě, Příjemce dotace </w:t>
      </w:r>
      <w:r>
        <w:rPr>
          <w:rFonts w:eastAsia="Calibri" w:cs="Calibri"/>
        </w:rPr>
        <w:t xml:space="preserve">poskytne </w:t>
      </w:r>
      <w:r>
        <w:rPr>
          <w:b/>
        </w:rPr>
        <w:t>do 10 pracovních dnů</w:t>
      </w:r>
      <w:r>
        <w:t xml:space="preserve"> od obdržení této žádosti detailní podmínky</w:t>
      </w:r>
      <w:r>
        <w:rPr>
          <w:rFonts w:eastAsia="Calibri" w:cs="Calibri"/>
        </w:rPr>
        <w:t xml:space="preserve"> </w:t>
      </w:r>
      <w:r>
        <w:t>přístupu</w:t>
      </w:r>
      <w:r>
        <w:rPr>
          <w:rFonts w:eastAsia="Calibri" w:cs="Calibri"/>
        </w:rPr>
        <w:t>.</w:t>
      </w:r>
    </w:p>
    <w:p w14:paraId="0DFB3BA0" w14:textId="77777777" w:rsidR="00290298" w:rsidRDefault="00FD2D52">
      <w:pPr>
        <w:pStyle w:val="Style1"/>
        <w:numPr>
          <w:ilvl w:val="0"/>
          <w:numId w:val="23"/>
        </w:numPr>
        <w:ind w:left="425" w:hanging="425"/>
      </w:pPr>
      <w:r>
        <w:t>Řídící orgán</w:t>
      </w:r>
      <w:r>
        <w:rPr>
          <w:rFonts w:eastAsia="Calibri" w:cs="Calibri"/>
        </w:rPr>
        <w:t xml:space="preserve"> bude </w:t>
      </w:r>
      <w:r>
        <w:t xml:space="preserve">provozovat způsobem umožňujícím dálkový přístup centrální evidenci všech zveřejněných referenčních nabídek. </w:t>
      </w:r>
    </w:p>
    <w:p w14:paraId="7A2B1C86" w14:textId="77777777" w:rsidR="00290298" w:rsidRDefault="00FD2D52">
      <w:pPr>
        <w:pStyle w:val="Style1"/>
        <w:numPr>
          <w:ilvl w:val="0"/>
          <w:numId w:val="0"/>
        </w:numPr>
        <w:ind w:left="425" w:firstLine="1"/>
      </w:pPr>
      <w:r>
        <w:t xml:space="preserve">Součástí centrální evidence bude odkaz na jednotlivé referenční nabídky </w:t>
      </w:r>
      <w:r>
        <w:rPr>
          <w:rFonts w:eastAsia="Calibri" w:cs="Calibri"/>
        </w:rPr>
        <w:t xml:space="preserve">s </w:t>
      </w:r>
      <w:r>
        <w:t>uvedením souvisejících informací, a</w:t>
      </w:r>
      <w:r>
        <w:rPr>
          <w:rFonts w:eastAsia="Calibri" w:cs="Calibri"/>
        </w:rPr>
        <w:t xml:space="preserve"> to ze</w:t>
      </w:r>
      <w:r>
        <w:t>jména o</w:t>
      </w:r>
      <w:r>
        <w:rPr>
          <w:rFonts w:eastAsia="Calibri" w:cs="Calibri"/>
        </w:rPr>
        <w:t xml:space="preserve"> </w:t>
      </w:r>
      <w:r>
        <w:t>lokalitě, kde je nabídka poskytována, a</w:t>
      </w:r>
      <w:r>
        <w:rPr>
          <w:rFonts w:eastAsia="Calibri" w:cs="Calibri"/>
        </w:rPr>
        <w:t xml:space="preserve"> </w:t>
      </w:r>
      <w:r>
        <w:t>o jaký typ referenční nabídky se jedná</w:t>
      </w:r>
      <w:r>
        <w:rPr>
          <w:rFonts w:eastAsia="Calibri" w:cs="Calibri"/>
        </w:rPr>
        <w:t xml:space="preserve">. </w:t>
      </w:r>
    </w:p>
    <w:p w14:paraId="62F231BF" w14:textId="77777777" w:rsidR="00290298" w:rsidRDefault="00290298">
      <w:pPr>
        <w:pStyle w:val="Style1"/>
        <w:numPr>
          <w:ilvl w:val="0"/>
          <w:numId w:val="0"/>
        </w:numPr>
        <w:ind w:left="1068" w:hanging="360"/>
      </w:pPr>
    </w:p>
    <w:p w14:paraId="006B49FA" w14:textId="77777777" w:rsidR="00290298" w:rsidRDefault="00290298">
      <w:pPr>
        <w:pageBreakBefore/>
        <w:suppressAutoHyphens w:val="0"/>
        <w:overflowPunct/>
        <w:autoSpaceDE/>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6DEE30F2" w14:textId="77777777">
        <w:tc>
          <w:tcPr>
            <w:tcW w:w="9775" w:type="dxa"/>
            <w:shd w:val="clear" w:color="auto" w:fill="auto"/>
            <w:tcMar>
              <w:top w:w="0" w:type="dxa"/>
              <w:left w:w="108" w:type="dxa"/>
              <w:bottom w:w="0" w:type="dxa"/>
              <w:right w:w="108" w:type="dxa"/>
            </w:tcMar>
          </w:tcPr>
          <w:p w14:paraId="2F01AA47" w14:textId="77777777" w:rsidR="00290298" w:rsidRDefault="00FD2D52">
            <w:pPr>
              <w:shd w:val="clear" w:color="auto" w:fill="D9E2F3"/>
              <w:spacing w:before="120" w:after="120" w:line="276" w:lineRule="auto"/>
              <w:ind w:left="482" w:hanging="425"/>
            </w:pPr>
            <w:r>
              <w:rPr>
                <w:rFonts w:eastAsia="Calibri" w:cs="Calibri"/>
                <w:b/>
                <w:sz w:val="24"/>
              </w:rPr>
              <w:t xml:space="preserve">3. </w:t>
            </w:r>
            <w:r>
              <w:rPr>
                <w:rFonts w:eastAsia="Calibri" w:cs="Calibri"/>
                <w:b/>
                <w:sz w:val="24"/>
              </w:rPr>
              <w:tab/>
              <w:t>Popis přístupových produktů</w:t>
            </w:r>
          </w:p>
        </w:tc>
      </w:tr>
    </w:tbl>
    <w:p w14:paraId="65D8A05F" w14:textId="77777777" w:rsidR="00290298" w:rsidRDefault="00FD2D52">
      <w:pPr>
        <w:pStyle w:val="Style1"/>
        <w:numPr>
          <w:ilvl w:val="0"/>
          <w:numId w:val="23"/>
        </w:numPr>
        <w:ind w:left="425" w:hanging="425"/>
      </w:pPr>
      <w:r>
        <w:t xml:space="preserve">Níže uvedená matice specifikuje, jaký typ velkoobchodního přístupu </w:t>
      </w:r>
      <w:proofErr w:type="gramStart"/>
      <w:r>
        <w:t>je</w:t>
      </w:r>
      <w:proofErr w:type="gramEnd"/>
      <w:r>
        <w:t xml:space="preserve"> pro kterou technologii vyžadován. </w:t>
      </w:r>
    </w:p>
    <w:p w14:paraId="428D46AF" w14:textId="77777777" w:rsidR="00290298" w:rsidRDefault="00FD2D52">
      <w:pPr>
        <w:pStyle w:val="Style1"/>
        <w:numPr>
          <w:ilvl w:val="0"/>
          <w:numId w:val="0"/>
        </w:numPr>
        <w:ind w:left="425" w:firstLine="1"/>
      </w:pPr>
      <w:r>
        <w:t xml:space="preserve">Následně </w:t>
      </w:r>
      <w:r>
        <w:rPr>
          <w:rFonts w:eastAsia="Calibri" w:cs="Calibri"/>
        </w:rPr>
        <w:t>jsou</w:t>
      </w:r>
      <w:r>
        <w:t xml:space="preserve"> pak uvedeny požadavky na jednotlivé typy velkoobchodního přístupu.</w:t>
      </w:r>
      <w:r>
        <w:rPr>
          <w:rFonts w:eastAsia="Calibri" w:cs="Calibri"/>
        </w:rPr>
        <w:t xml:space="preserve"> </w:t>
      </w:r>
    </w:p>
    <w:p w14:paraId="40DD902D" w14:textId="77777777" w:rsidR="00290298" w:rsidRDefault="00290298">
      <w:pPr>
        <w:spacing w:after="10"/>
        <w:ind w:left="12" w:right="294"/>
        <w:rPr>
          <w:rFonts w:eastAsia="Calibri" w:cs="Calibri"/>
        </w:rPr>
      </w:pPr>
    </w:p>
    <w:tbl>
      <w:tblPr>
        <w:tblW w:w="9072" w:type="dxa"/>
        <w:tblInd w:w="421" w:type="dxa"/>
        <w:tblLayout w:type="fixed"/>
        <w:tblCellMar>
          <w:left w:w="10" w:type="dxa"/>
          <w:right w:w="10" w:type="dxa"/>
        </w:tblCellMar>
        <w:tblLook w:val="0000" w:firstRow="0" w:lastRow="0" w:firstColumn="0" w:lastColumn="0" w:noHBand="0" w:noVBand="0"/>
      </w:tblPr>
      <w:tblGrid>
        <w:gridCol w:w="3260"/>
        <w:gridCol w:w="2835"/>
        <w:gridCol w:w="2977"/>
      </w:tblGrid>
      <w:tr w:rsidR="00290298" w14:paraId="204257EE" w14:textId="77777777">
        <w:trPr>
          <w:trHeight w:val="73"/>
        </w:trPr>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0EF0D7B5" w14:textId="77777777" w:rsidR="00290298" w:rsidRDefault="00FD2D52">
            <w:pPr>
              <w:tabs>
                <w:tab w:val="right" w:pos="2532"/>
              </w:tabs>
              <w:jc w:val="center"/>
              <w:rPr>
                <w:rFonts w:eastAsia="Yu Mincho" w:cs="Arial"/>
                <w:b/>
                <w:sz w:val="20"/>
              </w:rPr>
            </w:pPr>
            <w:r>
              <w:rPr>
                <w:rFonts w:eastAsia="Yu Mincho" w:cs="Arial"/>
                <w:b/>
                <w:sz w:val="20"/>
              </w:rPr>
              <w:t>Infrastruktura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488FE790" w14:textId="77777777" w:rsidR="00290298" w:rsidRDefault="00FD2D52">
            <w:pPr>
              <w:ind w:right="149"/>
              <w:jc w:val="center"/>
            </w:pPr>
            <w:r>
              <w:rPr>
                <w:rFonts w:eastAsia="Yu Mincho" w:cs="Arial"/>
                <w:b/>
                <w:sz w:val="20"/>
              </w:rPr>
              <w:t>Pasivní přístup</w:t>
            </w:r>
          </w:p>
        </w:tc>
        <w:tc>
          <w:tcPr>
            <w:tcW w:w="2977" w:type="dxa"/>
            <w:tcBorders>
              <w:top w:val="single" w:sz="4" w:space="0" w:color="000000"/>
              <w:left w:val="single" w:sz="4" w:space="0" w:color="000000"/>
              <w:right w:val="single" w:sz="4" w:space="0" w:color="000000"/>
            </w:tcBorders>
            <w:shd w:val="clear" w:color="auto" w:fill="auto"/>
            <w:tcMar>
              <w:top w:w="106" w:type="dxa"/>
              <w:left w:w="106" w:type="dxa"/>
              <w:bottom w:w="0" w:type="dxa"/>
              <w:right w:w="58" w:type="dxa"/>
            </w:tcMar>
          </w:tcPr>
          <w:p w14:paraId="53B34A9D" w14:textId="77777777" w:rsidR="00290298" w:rsidRDefault="00FD2D52">
            <w:pPr>
              <w:ind w:left="2" w:right="179"/>
              <w:jc w:val="center"/>
            </w:pPr>
            <w:r>
              <w:rPr>
                <w:rFonts w:eastAsia="Yu Mincho" w:cs="Arial"/>
                <w:b/>
                <w:sz w:val="20"/>
              </w:rPr>
              <w:t>Aktivní přístup</w:t>
            </w:r>
          </w:p>
        </w:tc>
      </w:tr>
      <w:tr w:rsidR="00290298" w14:paraId="31E16E43" w14:textId="77777777">
        <w:trPr>
          <w:trHeight w:val="376"/>
        </w:trPr>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2C3418B5" w14:textId="77777777" w:rsidR="00290298" w:rsidRDefault="00290298">
            <w:pPr>
              <w:tabs>
                <w:tab w:val="right" w:pos="2532"/>
              </w:tabs>
              <w:jc w:val="center"/>
              <w:rPr>
                <w:rFonts w:eastAsia="Yu Mincho" w:cs="Arial"/>
                <w:b/>
                <w:sz w:val="20"/>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65A4AA06" w14:textId="77777777" w:rsidR="00290298" w:rsidRDefault="00FD2D52">
            <w:pPr>
              <w:ind w:right="149"/>
              <w:jc w:val="center"/>
            </w:pPr>
            <w:r>
              <w:rPr>
                <w:rFonts w:eastAsia="Calibri" w:cs="Calibri"/>
                <w:i/>
                <w:sz w:val="20"/>
              </w:rPr>
              <w:t>(sloupy</w:t>
            </w:r>
            <w:r>
              <w:rPr>
                <w:rFonts w:eastAsia="Yu Mincho" w:cs="Arial"/>
                <w:i/>
                <w:sz w:val="20"/>
              </w:rPr>
              <w:t>/stožáry/věže/</w:t>
            </w:r>
            <w:proofErr w:type="spellStart"/>
            <w:r>
              <w:rPr>
                <w:rFonts w:eastAsia="Yu Mincho" w:cs="Arial"/>
                <w:i/>
                <w:sz w:val="20"/>
              </w:rPr>
              <w:t>rooftopy</w:t>
            </w:r>
            <w:proofErr w:type="spellEnd"/>
            <w:r>
              <w:rPr>
                <w:rFonts w:eastAsia="Yu Mincho" w:cs="Arial"/>
                <w:i/>
                <w:sz w:val="20"/>
              </w:rPr>
              <w:t xml:space="preserve">, </w:t>
            </w:r>
            <w:proofErr w:type="spellStart"/>
            <w:r>
              <w:rPr>
                <w:rFonts w:eastAsia="Yu Mincho" w:cs="Arial"/>
                <w:i/>
                <w:sz w:val="20"/>
              </w:rPr>
              <w:t>kabelovody</w:t>
            </w:r>
            <w:proofErr w:type="spellEnd"/>
            <w:r>
              <w:rPr>
                <w:rFonts w:eastAsia="Yu Mincho" w:cs="Arial"/>
                <w:i/>
                <w:sz w:val="20"/>
              </w:rPr>
              <w:t>, chráničky, nenasvícená vlákna,</w:t>
            </w:r>
            <w:r>
              <w:rPr>
                <w:rFonts w:eastAsia="Yu Mincho" w:cs="Arial"/>
                <w:i/>
                <w:sz w:val="20"/>
              </w:rPr>
              <w:br/>
              <w:t>prostor v kontejneru, napájení)</w:t>
            </w:r>
          </w:p>
        </w:tc>
        <w:tc>
          <w:tcPr>
            <w:tcW w:w="2977" w:type="dxa"/>
            <w:tcBorders>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791B92F3" w14:textId="77777777" w:rsidR="00290298" w:rsidRDefault="00FD2D52">
            <w:pPr>
              <w:ind w:left="2" w:right="179"/>
              <w:jc w:val="center"/>
            </w:pPr>
            <w:r>
              <w:rPr>
                <w:rFonts w:eastAsia="Yu Mincho" w:cs="Arial"/>
                <w:i/>
                <w:sz w:val="20"/>
              </w:rPr>
              <w:t xml:space="preserve">(služby </w:t>
            </w:r>
            <w:r w:rsidR="00273AB5">
              <w:rPr>
                <w:rFonts w:eastAsia="Yu Mincho" w:cs="Arial"/>
                <w:i/>
                <w:sz w:val="20"/>
              </w:rPr>
              <w:t>roamingu, služby</w:t>
            </w:r>
            <w:r w:rsidR="00273AB5" w:rsidRPr="00F12FD5">
              <w:rPr>
                <w:rFonts w:eastAsia="Yu Mincho" w:cs="Arial"/>
                <w:i/>
                <w:sz w:val="20"/>
              </w:rPr>
              <w:t xml:space="preserve"> datového okruhu</w:t>
            </w:r>
            <w:r w:rsidR="00273AB5" w:rsidRPr="00D6270D">
              <w:rPr>
                <w:rFonts w:eastAsia="Yu Mincho" w:cs="Arial"/>
                <w:i/>
                <w:sz w:val="20"/>
              </w:rPr>
              <w:t xml:space="preserve"> </w:t>
            </w:r>
            <w:r w:rsidR="00273AB5" w:rsidRPr="00F12FD5">
              <w:rPr>
                <w:rFonts w:eastAsia="Yu Mincho" w:cs="Arial"/>
                <w:i/>
                <w:sz w:val="20"/>
              </w:rPr>
              <w:t>nebo jiný přístup k nasvícenému vláknu</w:t>
            </w:r>
            <w:r w:rsidR="009472ED">
              <w:rPr>
                <w:rFonts w:eastAsia="Yu Mincho" w:cs="Arial"/>
                <w:i/>
                <w:sz w:val="20"/>
              </w:rPr>
              <w:t xml:space="preserve"> na vrstvě L2 či L3</w:t>
            </w:r>
            <w:r>
              <w:rPr>
                <w:rFonts w:eastAsia="Calibri" w:cs="Calibri"/>
                <w:i/>
                <w:iCs/>
                <w:sz w:val="20"/>
              </w:rPr>
              <w:t>)</w:t>
            </w:r>
          </w:p>
        </w:tc>
      </w:tr>
      <w:tr w:rsidR="00290298" w14:paraId="3DFC107E" w14:textId="77777777">
        <w:trPr>
          <w:trHeight w:val="366"/>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304FCF17" w14:textId="77777777" w:rsidR="00290298" w:rsidRDefault="00FD2D52">
            <w:pPr>
              <w:ind w:left="2"/>
            </w:pPr>
            <w:r>
              <w:rPr>
                <w:rFonts w:eastAsia="Yu Mincho" w:cs="Arial"/>
                <w:b/>
                <w:sz w:val="20"/>
              </w:rPr>
              <w:t xml:space="preserve">Mobilní přístupové </w:t>
            </w:r>
            <w:r>
              <w:rPr>
                <w:rFonts w:eastAsia="Yu Mincho" w:cs="Arial"/>
                <w:b/>
                <w:bCs/>
                <w:sz w:val="20"/>
              </w:rPr>
              <w:t xml:space="preserve">sítě </w:t>
            </w:r>
            <w:r>
              <w:rPr>
                <w:rFonts w:eastAsia="Yu Mincho" w:cs="Arial"/>
                <w:szCs w:val="22"/>
              </w:rPr>
              <w:br/>
            </w:r>
            <w:r>
              <w:rPr>
                <w:rFonts w:eastAsia="Yu Mincho" w:cs="Arial"/>
                <w:b/>
                <w:bCs/>
                <w:i/>
                <w:iCs/>
                <w:sz w:val="20"/>
              </w:rPr>
              <w:t>umístění a využívání aktivních prvků</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00C87B87" w14:textId="77777777" w:rsidR="00290298" w:rsidRDefault="00FD2D52">
            <w:pPr>
              <w:jc w:val="center"/>
            </w:pPr>
            <w:r>
              <w:rPr>
                <w:rFonts w:eastAsia="Calibri" w:cs="Calibri"/>
                <w:sz w:val="20"/>
                <w:szCs w:val="22"/>
              </w:rPr>
              <w:t>ANO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2637992D" w14:textId="77777777" w:rsidR="00290298" w:rsidRDefault="00273AB5">
            <w:pPr>
              <w:ind w:left="2"/>
              <w:jc w:val="center"/>
              <w:rPr>
                <w:rFonts w:eastAsia="Yu Mincho" w:cs="Arial"/>
                <w:sz w:val="20"/>
                <w:szCs w:val="22"/>
              </w:rPr>
            </w:pPr>
            <w:r>
              <w:rPr>
                <w:rFonts w:eastAsia="Yu Mincho" w:cs="Arial"/>
                <w:sz w:val="20"/>
                <w:szCs w:val="22"/>
              </w:rPr>
              <w:t>-</w:t>
            </w:r>
          </w:p>
        </w:tc>
      </w:tr>
      <w:tr w:rsidR="00290298" w14:paraId="762698A1" w14:textId="77777777">
        <w:trPr>
          <w:trHeight w:val="366"/>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0A117925" w14:textId="77777777" w:rsidR="00290298" w:rsidRDefault="00FD2D52">
            <w:pPr>
              <w:ind w:left="2"/>
            </w:pPr>
            <w:r>
              <w:rPr>
                <w:rFonts w:eastAsia="Yu Mincho" w:cs="Arial"/>
                <w:b/>
                <w:sz w:val="20"/>
              </w:rPr>
              <w:t>Mobilní přístupové sít</w:t>
            </w:r>
            <w:r>
              <w:rPr>
                <w:rFonts w:eastAsia="Yu Mincho" w:cs="Arial"/>
                <w:b/>
                <w:bCs/>
                <w:sz w:val="20"/>
              </w:rPr>
              <w:t>ě</w:t>
            </w:r>
            <w:r>
              <w:rPr>
                <w:rFonts w:eastAsia="Yu Mincho" w:cs="Arial"/>
                <w:szCs w:val="22"/>
              </w:rPr>
              <w:br/>
            </w:r>
            <w:r>
              <w:rPr>
                <w:rFonts w:eastAsia="Yu Mincho" w:cs="Arial"/>
                <w:b/>
                <w:i/>
                <w:sz w:val="20"/>
              </w:rPr>
              <w:t xml:space="preserve">aktivní </w:t>
            </w:r>
            <w:r>
              <w:rPr>
                <w:rFonts w:eastAsia="Yu Mincho" w:cs="Arial"/>
                <w:b/>
                <w:bCs/>
                <w:i/>
                <w:iCs/>
                <w:sz w:val="20"/>
              </w:rPr>
              <w:t>přístup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5B61479F" w14:textId="77777777" w:rsidR="00290298" w:rsidRDefault="00FD2D52">
            <w:pPr>
              <w:jc w:val="center"/>
              <w:rPr>
                <w:rFonts w:eastAsia="Calibri" w:cs="Calibri"/>
                <w:sz w:val="20"/>
                <w:szCs w:val="22"/>
              </w:rPr>
            </w:pPr>
            <w:r>
              <w:rPr>
                <w:rFonts w:eastAsia="Calibri" w:cs="Calibri"/>
                <w:sz w:val="20"/>
                <w:szCs w:val="22"/>
              </w:rPr>
              <w:t>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3E058E08" w14:textId="77777777" w:rsidR="00290298" w:rsidRDefault="00273AB5">
            <w:pPr>
              <w:jc w:val="center"/>
              <w:rPr>
                <w:rFonts w:eastAsia="Calibri" w:cs="Calibri"/>
                <w:sz w:val="20"/>
                <w:szCs w:val="22"/>
              </w:rPr>
            </w:pPr>
            <w:r>
              <w:rPr>
                <w:rFonts w:eastAsia="Calibri" w:cs="Calibri"/>
                <w:sz w:val="20"/>
                <w:szCs w:val="22"/>
              </w:rPr>
              <w:t>ANO</w:t>
            </w:r>
          </w:p>
        </w:tc>
      </w:tr>
      <w:tr w:rsidR="00290298" w14:paraId="302EDCB5" w14:textId="77777777">
        <w:trPr>
          <w:trHeight w:val="36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41BA3C85" w14:textId="77777777" w:rsidR="00290298" w:rsidRDefault="009472ED">
            <w:pPr>
              <w:ind w:left="2"/>
            </w:pPr>
            <w:r>
              <w:rPr>
                <w:rFonts w:eastAsia="Yu Mincho" w:cs="Arial"/>
                <w:b/>
                <w:sz w:val="20"/>
              </w:rPr>
              <w:t>Přípojná část s</w:t>
            </w:r>
            <w:r w:rsidR="00FD2D52">
              <w:rPr>
                <w:rFonts w:eastAsia="Yu Mincho" w:cs="Arial"/>
                <w:b/>
                <w:sz w:val="20"/>
              </w:rPr>
              <w:t>ítě</w:t>
            </w:r>
            <w:r>
              <w:rPr>
                <w:rFonts w:eastAsia="Yu Mincho" w:cs="Arial"/>
                <w:b/>
                <w:sz w:val="20"/>
              </w:rPr>
              <w:t xml:space="preserve"> (tzv. </w:t>
            </w:r>
            <w:proofErr w:type="spellStart"/>
            <w:r>
              <w:rPr>
                <w:rFonts w:eastAsia="Yu Mincho" w:cs="Arial"/>
                <w:b/>
                <w:sz w:val="20"/>
              </w:rPr>
              <w:t>backhaul</w:t>
            </w:r>
            <w:proofErr w:type="spellEnd"/>
            <w:r>
              <w:rPr>
                <w:rFonts w:eastAsia="Yu Mincho" w:cs="Arial"/>
                <w:b/>
                <w:sz w:val="20"/>
              </w:rPr>
              <w:t>)</w:t>
            </w:r>
            <w:r w:rsidR="00FD2D52">
              <w:rPr>
                <w:rFonts w:eastAsia="Yu Mincho" w:cs="Arial"/>
                <w:b/>
                <w:sz w:val="20"/>
              </w:rPr>
              <w:t xml:space="preserve"> -</w:t>
            </w:r>
            <w:r w:rsidR="00FD2D52">
              <w:rPr>
                <w:rFonts w:eastAsia="Yu Mincho" w:cs="Arial"/>
                <w:b/>
                <w:sz w:val="20"/>
              </w:rPr>
              <w:br/>
            </w:r>
            <w:r w:rsidR="00FD2D52">
              <w:rPr>
                <w:rFonts w:eastAsia="Yu Mincho" w:cs="Arial"/>
                <w:b/>
                <w:i/>
                <w:sz w:val="20"/>
              </w:rPr>
              <w:t>optické kabely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20B080AD" w14:textId="77777777" w:rsidR="00290298" w:rsidRDefault="00FD2D52">
            <w:pPr>
              <w:jc w:val="center"/>
            </w:pPr>
            <w:r>
              <w:rPr>
                <w:rFonts w:eastAsia="Calibri" w:cs="Calibri"/>
                <w:sz w:val="20"/>
                <w:szCs w:val="22"/>
              </w:rPr>
              <w:t xml:space="preserve">ANO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2E4535D4" w14:textId="77777777" w:rsidR="00290298" w:rsidRDefault="00FD2D52">
            <w:pPr>
              <w:ind w:left="2"/>
              <w:jc w:val="center"/>
            </w:pPr>
            <w:r>
              <w:rPr>
                <w:rFonts w:eastAsia="Calibri" w:cs="Calibri"/>
                <w:sz w:val="20"/>
                <w:szCs w:val="22"/>
              </w:rPr>
              <w:t>ANO</w:t>
            </w:r>
          </w:p>
        </w:tc>
      </w:tr>
      <w:tr w:rsidR="00290298" w14:paraId="2D26D825" w14:textId="77777777">
        <w:trPr>
          <w:trHeight w:val="36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10D5EBAA" w14:textId="77777777" w:rsidR="00290298" w:rsidRDefault="009472ED">
            <w:pPr>
              <w:ind w:left="2"/>
            </w:pPr>
            <w:r>
              <w:rPr>
                <w:rFonts w:eastAsia="Yu Mincho" w:cs="Arial"/>
                <w:b/>
                <w:sz w:val="20"/>
              </w:rPr>
              <w:t xml:space="preserve">Přípojná část sítě (tzv. </w:t>
            </w:r>
            <w:proofErr w:type="spellStart"/>
            <w:r>
              <w:rPr>
                <w:rFonts w:eastAsia="Yu Mincho" w:cs="Arial"/>
                <w:b/>
                <w:sz w:val="20"/>
              </w:rPr>
              <w:t>backhaul</w:t>
            </w:r>
            <w:proofErr w:type="spellEnd"/>
            <w:r>
              <w:rPr>
                <w:rFonts w:eastAsia="Yu Mincho" w:cs="Arial"/>
                <w:b/>
                <w:sz w:val="20"/>
              </w:rPr>
              <w:t>)</w:t>
            </w:r>
            <w:r w:rsidR="00FD2D52">
              <w:rPr>
                <w:rFonts w:eastAsia="Yu Mincho" w:cs="Arial"/>
                <w:b/>
                <w:sz w:val="20"/>
              </w:rPr>
              <w:t xml:space="preserve"> -</w:t>
            </w:r>
            <w:r w:rsidR="00FD2D52">
              <w:rPr>
                <w:rFonts w:eastAsia="Yu Mincho" w:cs="Arial"/>
                <w:szCs w:val="22"/>
              </w:rPr>
              <w:br/>
            </w:r>
            <w:r w:rsidR="00FD2D52">
              <w:rPr>
                <w:rFonts w:eastAsia="Yu Mincho" w:cs="Arial"/>
                <w:b/>
                <w:bCs/>
                <w:i/>
                <w:iCs/>
                <w:sz w:val="20"/>
              </w:rPr>
              <w:t>mikrovlnná</w:t>
            </w:r>
            <w:r w:rsidR="00FD2D52">
              <w:rPr>
                <w:rFonts w:eastAsia="Yu Mincho" w:cs="Arial"/>
                <w:b/>
                <w:i/>
                <w:sz w:val="20"/>
              </w:rPr>
              <w:t xml:space="preserve"> zařízení</w:t>
            </w:r>
            <w:r w:rsidR="00FD2D52">
              <w:rPr>
                <w:rFonts w:eastAsia="Calibri" w:cs="Calibri"/>
                <w:b/>
                <w:sz w:val="20"/>
                <w:vertAlign w:val="superscript"/>
              </w:rPr>
              <w:t>*)</w:t>
            </w:r>
            <w:r w:rsidR="00FD2D52">
              <w:rPr>
                <w:rFonts w:eastAsia="Calibri" w:cs="Calibri"/>
                <w:b/>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79BE9F69" w14:textId="77777777" w:rsidR="00290298" w:rsidRDefault="00FD2D52">
            <w:pPr>
              <w:jc w:val="center"/>
            </w:pPr>
            <w:r>
              <w:rPr>
                <w:rFonts w:eastAsia="Calibri" w:cs="Calibri"/>
                <w:sz w:val="20"/>
                <w:szCs w:val="22"/>
              </w:rPr>
              <w:t>ANO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20F68A5D" w14:textId="77777777" w:rsidR="00290298" w:rsidRDefault="00FD2D52">
            <w:pPr>
              <w:ind w:left="2"/>
              <w:jc w:val="center"/>
            </w:pPr>
            <w:r>
              <w:rPr>
                <w:rFonts w:eastAsia="Calibri" w:cs="Calibri"/>
                <w:sz w:val="20"/>
              </w:rPr>
              <w:t>ANO**</w:t>
            </w:r>
          </w:p>
        </w:tc>
      </w:tr>
    </w:tbl>
    <w:p w14:paraId="463ECC6C" w14:textId="77777777" w:rsidR="00290298" w:rsidRDefault="00FD2D52">
      <w:pPr>
        <w:pStyle w:val="Style1"/>
        <w:numPr>
          <w:ilvl w:val="0"/>
          <w:numId w:val="0"/>
        </w:numPr>
        <w:ind w:left="709" w:hanging="283"/>
      </w:pPr>
      <w:r>
        <w:rPr>
          <w:vertAlign w:val="superscript"/>
        </w:rPr>
        <w:t>*)</w:t>
      </w:r>
      <w:r>
        <w:tab/>
      </w:r>
      <w:r>
        <w:rPr>
          <w:i/>
          <w:sz w:val="20"/>
          <w:szCs w:val="20"/>
        </w:rPr>
        <w:t>Příjemce dotace musí Žadateli o</w:t>
      </w:r>
      <w:r>
        <w:rPr>
          <w:rFonts w:eastAsia="Calibri" w:cs="Calibri"/>
          <w:i/>
          <w:sz w:val="20"/>
          <w:szCs w:val="20"/>
        </w:rPr>
        <w:t xml:space="preserve"> </w:t>
      </w:r>
      <w:r>
        <w:rPr>
          <w:i/>
          <w:sz w:val="20"/>
          <w:szCs w:val="20"/>
        </w:rPr>
        <w:t xml:space="preserve">přístup umožnit přístup </w:t>
      </w:r>
      <w:r>
        <w:rPr>
          <w:rFonts w:eastAsia="Calibri" w:cs="Calibri"/>
          <w:i/>
          <w:sz w:val="20"/>
          <w:szCs w:val="20"/>
        </w:rPr>
        <w:t>k</w:t>
      </w:r>
      <w:r w:rsidR="009472ED">
        <w:rPr>
          <w:i/>
          <w:sz w:val="20"/>
          <w:szCs w:val="20"/>
        </w:rPr>
        <w:t> přípojné části sítě</w:t>
      </w:r>
      <w:r>
        <w:rPr>
          <w:i/>
          <w:sz w:val="20"/>
          <w:szCs w:val="20"/>
        </w:rPr>
        <w:t xml:space="preserve"> (mikrovlnné zařízení) nebo umožnit instalaci vlastního mikrovlnného zařízení na sloupu/stožáru/věži/</w:t>
      </w:r>
      <w:proofErr w:type="spellStart"/>
      <w:r>
        <w:rPr>
          <w:i/>
          <w:sz w:val="20"/>
          <w:szCs w:val="20"/>
        </w:rPr>
        <w:t>rooftopu</w:t>
      </w:r>
      <w:proofErr w:type="spellEnd"/>
      <w:r>
        <w:rPr>
          <w:i/>
          <w:sz w:val="20"/>
          <w:szCs w:val="20"/>
        </w:rPr>
        <w:t>.</w:t>
      </w:r>
    </w:p>
    <w:p w14:paraId="723521EC" w14:textId="77777777" w:rsidR="00290298" w:rsidRDefault="00FD2D52">
      <w:pPr>
        <w:pStyle w:val="Style1"/>
        <w:numPr>
          <w:ilvl w:val="0"/>
          <w:numId w:val="0"/>
        </w:numPr>
        <w:ind w:left="709" w:hanging="283"/>
      </w:pPr>
      <w:r>
        <w:rPr>
          <w:i/>
          <w:sz w:val="20"/>
          <w:szCs w:val="20"/>
        </w:rPr>
        <w:t>**) Pouze v případě, že není umožněno umístění vlastního zařízení pro mikrovlnné páteřní připojení.</w:t>
      </w:r>
    </w:p>
    <w:p w14:paraId="7B636101" w14:textId="77777777" w:rsidR="00290298" w:rsidRDefault="00290298">
      <w:pPr>
        <w:pStyle w:val="Style1"/>
        <w:numPr>
          <w:ilvl w:val="0"/>
          <w:numId w:val="0"/>
        </w:numPr>
        <w:ind w:left="1068" w:hanging="360"/>
      </w:pPr>
    </w:p>
    <w:p w14:paraId="2E8D5063" w14:textId="77777777" w:rsidR="00290298" w:rsidRDefault="00FD2D52">
      <w:pPr>
        <w:pStyle w:val="Style1"/>
        <w:numPr>
          <w:ilvl w:val="0"/>
          <w:numId w:val="23"/>
        </w:numPr>
        <w:ind w:left="425" w:hanging="425"/>
      </w:pPr>
      <w:r>
        <w:rPr>
          <w:rFonts w:eastAsia="Calibri" w:cs="Calibri"/>
        </w:rPr>
        <w:t xml:space="preserve">V </w:t>
      </w:r>
      <w:r>
        <w:t>souladu</w:t>
      </w:r>
      <w:r>
        <w:rPr>
          <w:rFonts w:eastAsia="Calibri" w:cs="Calibri"/>
        </w:rPr>
        <w:t xml:space="preserve"> s </w:t>
      </w:r>
      <w:r>
        <w:t>obecnými principy a</w:t>
      </w:r>
      <w:r>
        <w:rPr>
          <w:rFonts w:eastAsia="Calibri" w:cs="Calibri"/>
        </w:rPr>
        <w:t xml:space="preserve"> </w:t>
      </w:r>
      <w:r>
        <w:t>podmínkami velkoobchodních nabídek uvedenými v</w:t>
      </w:r>
      <w:r>
        <w:rPr>
          <w:rFonts w:eastAsia="Calibri" w:cs="Calibri"/>
        </w:rPr>
        <w:t xml:space="preserve"> GBER</w:t>
      </w:r>
      <w:r>
        <w:t>, musí Příjemce dotace v</w:t>
      </w:r>
      <w:r>
        <w:rPr>
          <w:rFonts w:eastAsia="Calibri" w:cs="Calibri"/>
        </w:rPr>
        <w:t xml:space="preserve"> </w:t>
      </w:r>
      <w:r>
        <w:t>případě použití jiného (než výše uvedeného) technologického řešení dotovaných sítí, poskytnout přístup přiměřeně v</w:t>
      </w:r>
      <w:r>
        <w:rPr>
          <w:rFonts w:eastAsia="Calibri" w:cs="Calibri"/>
        </w:rPr>
        <w:t xml:space="preserve"> </w:t>
      </w:r>
      <w:r>
        <w:t>takovém rozsahu, který daná technologie umožňuje.</w:t>
      </w:r>
      <w:r>
        <w:rPr>
          <w:rFonts w:eastAsia="Calibri" w:cs="Calibri"/>
        </w:rPr>
        <w:t xml:space="preserve"> </w:t>
      </w:r>
    </w:p>
    <w:p w14:paraId="7E51A487" w14:textId="77777777" w:rsidR="00290298" w:rsidRDefault="00290298">
      <w:pPr>
        <w:pStyle w:val="Style1"/>
        <w:numPr>
          <w:ilvl w:val="0"/>
          <w:numId w:val="0"/>
        </w:numPr>
        <w:ind w:left="1068" w:hanging="360"/>
      </w:pPr>
    </w:p>
    <w:p w14:paraId="1D21C296" w14:textId="77777777" w:rsidR="00290298" w:rsidRDefault="00FD2D52">
      <w:pPr>
        <w:spacing w:after="76"/>
        <w:ind w:left="425" w:hanging="425"/>
      </w:pPr>
      <w:r>
        <w:rPr>
          <w:color w:val="000000"/>
          <w:sz w:val="24"/>
        </w:rPr>
        <w:t>3.1</w:t>
      </w:r>
      <w:r>
        <w:rPr>
          <w:color w:val="000000"/>
          <w:sz w:val="24"/>
        </w:rPr>
        <w:tab/>
      </w:r>
      <w:r>
        <w:rPr>
          <w:color w:val="000000"/>
          <w:sz w:val="24"/>
          <w:u w:val="single"/>
        </w:rPr>
        <w:t>Pasivní přístup</w:t>
      </w:r>
    </w:p>
    <w:p w14:paraId="3332AB91" w14:textId="1E3DDFB9" w:rsidR="00290298" w:rsidRDefault="00FD2D52">
      <w:pPr>
        <w:pStyle w:val="Style1"/>
        <w:numPr>
          <w:ilvl w:val="0"/>
          <w:numId w:val="23"/>
        </w:numPr>
        <w:ind w:left="425" w:hanging="425"/>
      </w:pPr>
      <w:r>
        <w:rPr>
          <w:rFonts w:eastAsia="Calibri" w:cs="Calibri"/>
        </w:rPr>
        <w:t xml:space="preserve">Jde o </w:t>
      </w:r>
      <w:r>
        <w:t>přístup k</w:t>
      </w:r>
      <w:r>
        <w:rPr>
          <w:rFonts w:eastAsia="Calibri" w:cs="Calibri"/>
        </w:rPr>
        <w:t> </w:t>
      </w:r>
      <w:r>
        <w:t xml:space="preserve">pasivní infrastruktuře vymezené ve smyslu GBER. </w:t>
      </w:r>
    </w:p>
    <w:p w14:paraId="39ECA08F" w14:textId="77777777" w:rsidR="00290298" w:rsidRDefault="00FD2D52">
      <w:pPr>
        <w:pStyle w:val="Style1"/>
        <w:numPr>
          <w:ilvl w:val="0"/>
          <w:numId w:val="0"/>
        </w:numPr>
        <w:ind w:left="425" w:firstLine="1"/>
      </w:pPr>
      <w:r>
        <w:t>Nabídka pronájmu pasivní infrastruktury umožní Žadateli o</w:t>
      </w:r>
      <w:r>
        <w:rPr>
          <w:rFonts w:eastAsia="Calibri" w:cs="Calibri"/>
        </w:rPr>
        <w:t xml:space="preserve"> </w:t>
      </w:r>
      <w:r>
        <w:t xml:space="preserve">přístup </w:t>
      </w:r>
      <w:r>
        <w:rPr>
          <w:rFonts w:eastAsia="Calibri" w:cs="Calibri"/>
        </w:rPr>
        <w:t xml:space="preserve">k </w:t>
      </w:r>
      <w:r>
        <w:t>užívání:</w:t>
      </w:r>
      <w:r>
        <w:rPr>
          <w:rFonts w:eastAsia="Calibri" w:cs="Calibri"/>
        </w:rPr>
        <w:t xml:space="preserve"> </w:t>
      </w:r>
    </w:p>
    <w:p w14:paraId="45D86158" w14:textId="77777777" w:rsidR="00290298" w:rsidRDefault="00FD2D52">
      <w:pPr>
        <w:pStyle w:val="Style1"/>
        <w:numPr>
          <w:ilvl w:val="2"/>
          <w:numId w:val="25"/>
        </w:numPr>
        <w:ind w:left="709" w:hanging="284"/>
      </w:pPr>
      <w:r>
        <w:t xml:space="preserve">přístup ke sloupům/stožárům/věžím a </w:t>
      </w:r>
      <w:proofErr w:type="spellStart"/>
      <w:r>
        <w:t>rooftopům</w:t>
      </w:r>
      <w:proofErr w:type="spellEnd"/>
      <w:r>
        <w:t xml:space="preserve"> nebo prostor v kontejneru (na mobilní přístupové síti nebo </w:t>
      </w:r>
      <w:r w:rsidR="00FD3521">
        <w:t xml:space="preserve">na přípojné části </w:t>
      </w:r>
      <w:r>
        <w:t>sít</w:t>
      </w:r>
      <w:r w:rsidR="00FD3521">
        <w:t>ě</w:t>
      </w:r>
      <w:r>
        <w:t xml:space="preserve">) formou umístnění zařízení Žadatele o přístup, </w:t>
      </w:r>
    </w:p>
    <w:p w14:paraId="191B4D2E" w14:textId="77777777" w:rsidR="00290298" w:rsidRDefault="00FD2D52">
      <w:pPr>
        <w:pStyle w:val="Style1"/>
        <w:numPr>
          <w:ilvl w:val="2"/>
          <w:numId w:val="25"/>
        </w:numPr>
        <w:ind w:left="709" w:hanging="284"/>
      </w:pPr>
      <w:r>
        <w:t xml:space="preserve">přístup ke </w:t>
      </w:r>
      <w:proofErr w:type="spellStart"/>
      <w:r>
        <w:t>kabelovodům</w:t>
      </w:r>
      <w:proofErr w:type="spellEnd"/>
      <w:r>
        <w:t xml:space="preserve"> či chráničkám (</w:t>
      </w:r>
      <w:r w:rsidR="0081520F">
        <w:t>na mobilní přístupové síti nebo na přípojné části sítě</w:t>
      </w:r>
      <w:r>
        <w:t>) za účelem umístění optických kabelů anebo svazků optických vláken Žadatele o přístup,</w:t>
      </w:r>
    </w:p>
    <w:p w14:paraId="476C99E1" w14:textId="77777777" w:rsidR="00290298" w:rsidRDefault="00FD2D52">
      <w:pPr>
        <w:pStyle w:val="Style1"/>
        <w:numPr>
          <w:ilvl w:val="2"/>
          <w:numId w:val="25"/>
        </w:numPr>
        <w:ind w:left="709" w:hanging="284"/>
      </w:pPr>
      <w:r>
        <w:t>přístup k nenasvíceným vláknům (</w:t>
      </w:r>
      <w:r w:rsidR="0081520F">
        <w:t>na mobilní přístupové síti nebo na přípojné části sítě</w:t>
      </w:r>
      <w:r>
        <w:t>) za účelem realizace optického spojení Žadatele o přístup.</w:t>
      </w:r>
    </w:p>
    <w:p w14:paraId="2C58211C" w14:textId="77777777" w:rsidR="00290298" w:rsidRDefault="00FD2D52">
      <w:pPr>
        <w:pStyle w:val="Style1"/>
        <w:numPr>
          <w:ilvl w:val="0"/>
          <w:numId w:val="23"/>
        </w:numPr>
        <w:ind w:left="425" w:hanging="425"/>
      </w:pPr>
      <w:r>
        <w:t>Přístup je realizován v</w:t>
      </w:r>
      <w:r>
        <w:rPr>
          <w:rFonts w:eastAsia="Calibri" w:cs="Calibri"/>
        </w:rPr>
        <w:t xml:space="preserve"> bodech k </w:t>
      </w:r>
      <w:r>
        <w:t xml:space="preserve">tomu určených (pozice na stožáru či věži, kabelová komora, pozice na ODF) </w:t>
      </w:r>
      <w:r>
        <w:rPr>
          <w:rFonts w:eastAsia="Calibri" w:cs="Calibri"/>
        </w:rPr>
        <w:t xml:space="preserve">s ohledem na </w:t>
      </w:r>
      <w:r>
        <w:t>strukturu infrastruktury tak, aby nedocházelo k</w:t>
      </w:r>
      <w:r>
        <w:rPr>
          <w:rFonts w:eastAsia="Calibri" w:cs="Calibri"/>
        </w:rPr>
        <w:t xml:space="preserve"> </w:t>
      </w:r>
      <w:r>
        <w:t>jejímu znehodnocení pro budoucí využití.</w:t>
      </w:r>
      <w:r>
        <w:rPr>
          <w:rFonts w:eastAsia="Calibri" w:cs="Calibri"/>
        </w:rPr>
        <w:t xml:space="preserve"> </w:t>
      </w:r>
    </w:p>
    <w:p w14:paraId="4BFAF6E1" w14:textId="77777777" w:rsidR="00290298" w:rsidRDefault="00FD2D52">
      <w:pPr>
        <w:pStyle w:val="Style1"/>
        <w:numPr>
          <w:ilvl w:val="0"/>
          <w:numId w:val="23"/>
        </w:numPr>
        <w:ind w:left="425" w:hanging="425"/>
      </w:pPr>
      <w:r>
        <w:t xml:space="preserve">Příjemce </w:t>
      </w:r>
      <w:r>
        <w:rPr>
          <w:rFonts w:eastAsia="Calibri" w:cs="Calibri"/>
        </w:rPr>
        <w:t>dotace</w:t>
      </w:r>
      <w:r>
        <w:t xml:space="preserve"> poskytne Žadateli</w:t>
      </w:r>
      <w:r>
        <w:rPr>
          <w:rFonts w:eastAsia="Calibri" w:cs="Calibri"/>
        </w:rPr>
        <w:t xml:space="preserve"> o </w:t>
      </w:r>
      <w:r>
        <w:t>přístup</w:t>
      </w:r>
      <w:r>
        <w:rPr>
          <w:rFonts w:eastAsia="Calibri" w:cs="Calibri"/>
        </w:rPr>
        <w:t xml:space="preserve"> </w:t>
      </w:r>
      <w:r>
        <w:t xml:space="preserve">součinnost při instalaci jeho aktivních zařízení nebo optických kabelů, při zajištění běžné údržby zařízení </w:t>
      </w:r>
      <w:r>
        <w:rPr>
          <w:rFonts w:eastAsia="Calibri" w:cs="Calibri"/>
        </w:rPr>
        <w:t xml:space="preserve">a </w:t>
      </w:r>
      <w:r>
        <w:t>při provádění oprav.</w:t>
      </w:r>
    </w:p>
    <w:p w14:paraId="75DDE90E" w14:textId="4A89642D" w:rsidR="00290298" w:rsidRDefault="00FD2D52">
      <w:pPr>
        <w:pStyle w:val="Style1"/>
        <w:numPr>
          <w:ilvl w:val="0"/>
          <w:numId w:val="23"/>
        </w:numPr>
        <w:ind w:left="425" w:hanging="425"/>
      </w:pPr>
      <w:r>
        <w:t xml:space="preserve">Příjemce dotace </w:t>
      </w:r>
      <w:r w:rsidR="00A40E8E">
        <w:t xml:space="preserve">je povinen </w:t>
      </w:r>
      <w:r>
        <w:t>poskytnout</w:t>
      </w:r>
      <w:r w:rsidR="00A40E8E">
        <w:t xml:space="preserve"> </w:t>
      </w:r>
      <w:r w:rsidR="00A40E8E">
        <w:t>přístup k</w:t>
      </w:r>
      <w:r w:rsidR="00A40E8E">
        <w:rPr>
          <w:rFonts w:eastAsia="Calibri" w:cs="Calibri"/>
        </w:rPr>
        <w:t> </w:t>
      </w:r>
      <w:r w:rsidR="00A40E8E">
        <w:t>pasivní infrastruktuře</w:t>
      </w:r>
      <w:r>
        <w:t xml:space="preserve"> v</w:t>
      </w:r>
      <w:r w:rsidRPr="0DB4B278">
        <w:rPr>
          <w:rFonts w:eastAsia="Calibri" w:cs="Calibri"/>
        </w:rPr>
        <w:t xml:space="preserve"> </w:t>
      </w:r>
      <w:r>
        <w:t>přiměřeném rozsahu i</w:t>
      </w:r>
      <w:r w:rsidRPr="0DB4B278">
        <w:rPr>
          <w:rFonts w:eastAsia="Calibri" w:cs="Calibri"/>
        </w:rPr>
        <w:t xml:space="preserve"> </w:t>
      </w:r>
      <w:r>
        <w:t>na nedotované infrastruktuře,</w:t>
      </w:r>
      <w:r w:rsidRPr="0DB4B278">
        <w:rPr>
          <w:rFonts w:eastAsia="Calibri" w:cs="Calibri"/>
        </w:rPr>
        <w:t xml:space="preserve"> je</w:t>
      </w:r>
      <w:r w:rsidR="00A40E8E">
        <w:rPr>
          <w:rFonts w:eastAsia="Calibri" w:cs="Calibri"/>
        </w:rPr>
        <w:t>-</w:t>
      </w:r>
      <w:r>
        <w:t>li dostupná,</w:t>
      </w:r>
      <w:r w:rsidRPr="0DB4B278">
        <w:rPr>
          <w:rFonts w:eastAsia="Calibri" w:cs="Calibri"/>
        </w:rPr>
        <w:t xml:space="preserve"> </w:t>
      </w:r>
      <w:r>
        <w:t xml:space="preserve">nejméně však od kontejneru pro aktivní zařízení do prvního hierarchického bodu infrastruktury Příjemce </w:t>
      </w:r>
      <w:r w:rsidRPr="0DB4B278">
        <w:rPr>
          <w:rFonts w:eastAsia="Calibri" w:cs="Calibri"/>
        </w:rPr>
        <w:t>dotace</w:t>
      </w:r>
      <w:r>
        <w:t xml:space="preserve">, odkud se realizuje propojení (např. </w:t>
      </w:r>
      <w:r w:rsidRPr="0DB4B278">
        <w:rPr>
          <w:rFonts w:eastAsia="Calibri" w:cs="Calibri"/>
        </w:rPr>
        <w:t xml:space="preserve">do POP </w:t>
      </w:r>
      <w:r>
        <w:t>na páteřní síti</w:t>
      </w:r>
      <w:r w:rsidRPr="0DB4B278">
        <w:rPr>
          <w:rFonts w:eastAsia="Calibri" w:cs="Calibri"/>
        </w:rPr>
        <w:t xml:space="preserve">). </w:t>
      </w:r>
    </w:p>
    <w:p w14:paraId="5D42BDB0" w14:textId="77777777" w:rsidR="00290298" w:rsidRDefault="00FD2D52">
      <w:pPr>
        <w:pStyle w:val="Style1"/>
        <w:numPr>
          <w:ilvl w:val="0"/>
          <w:numId w:val="23"/>
        </w:numPr>
        <w:ind w:left="425" w:hanging="425"/>
      </w:pPr>
      <w:r>
        <w:lastRenderedPageBreak/>
        <w:t xml:space="preserve">Příjemce dotace může stanovit pravidla pro poskytování infrastruktury s ohledem na její efektivní využití a dostupnost kapacity pro budoucí žadatele, např. určit přednostní využití </w:t>
      </w:r>
      <w:proofErr w:type="spellStart"/>
      <w:r>
        <w:t>mikrotrubiček</w:t>
      </w:r>
      <w:proofErr w:type="spellEnd"/>
      <w:r>
        <w:t xml:space="preserve"> před využitím HDPE trubek či celého otvoru </w:t>
      </w:r>
      <w:proofErr w:type="spellStart"/>
      <w:r>
        <w:t>kabelovodu</w:t>
      </w:r>
      <w:proofErr w:type="spellEnd"/>
      <w:r>
        <w:t>, vždy však tak</w:t>
      </w:r>
      <w:r w:rsidR="00C41DB0">
        <w:t>,</w:t>
      </w:r>
      <w:r>
        <w:t xml:space="preserve"> aby bylo umožněno Žadateli o přístup realizovat své služby nejméně ve stejném rozsahu a kvalitě jako Příjemce dotace. </w:t>
      </w:r>
    </w:p>
    <w:p w14:paraId="6473EFAA" w14:textId="77777777" w:rsidR="00290298" w:rsidRDefault="00FD2D52" w:rsidP="00F12FD5">
      <w:pPr>
        <w:pStyle w:val="Style1"/>
        <w:numPr>
          <w:ilvl w:val="0"/>
          <w:numId w:val="0"/>
        </w:numPr>
        <w:ind w:left="425" w:firstLine="1"/>
      </w:pPr>
      <w:r>
        <w:t>V případě nového sloupu/věže/stožáru/</w:t>
      </w:r>
      <w:proofErr w:type="spellStart"/>
      <w:r>
        <w:t>rooftopu</w:t>
      </w:r>
      <w:proofErr w:type="spellEnd"/>
      <w:r>
        <w:t xml:space="preserve"> nebo kontejneru zajištěného s využitím veřejných prostředků umísťuje Příjemce dotace svá aktivní zařízení efektivně s ohledem na potřebu poskytnutí možnosti využití další plochy/prostoru k pronájmu pro aktivní zařízení Žadatele o přístup a nebude umístění aktivního zařízení Žadatele </w:t>
      </w:r>
      <w:r>
        <w:rPr>
          <w:rFonts w:eastAsia="Calibri" w:cs="Calibri"/>
        </w:rPr>
        <w:t xml:space="preserve">o </w:t>
      </w:r>
      <w:r>
        <w:t>přístup účelově brá</w:t>
      </w:r>
      <w:r>
        <w:rPr>
          <w:rFonts w:eastAsia="Calibri" w:cs="Calibri"/>
        </w:rPr>
        <w:t xml:space="preserve">nit. </w:t>
      </w:r>
    </w:p>
    <w:p w14:paraId="4EBE27B8" w14:textId="77777777" w:rsidR="00290298" w:rsidRDefault="00290298">
      <w:pPr>
        <w:pStyle w:val="Style1"/>
        <w:numPr>
          <w:ilvl w:val="0"/>
          <w:numId w:val="0"/>
        </w:numPr>
        <w:ind w:left="1068" w:hanging="360"/>
      </w:pPr>
    </w:p>
    <w:p w14:paraId="7006AB50" w14:textId="77777777" w:rsidR="00290298" w:rsidRDefault="00FD2D52">
      <w:pPr>
        <w:spacing w:after="76"/>
        <w:ind w:left="425" w:hanging="425"/>
      </w:pPr>
      <w:r>
        <w:rPr>
          <w:color w:val="000000"/>
          <w:sz w:val="24"/>
        </w:rPr>
        <w:t>3.2</w:t>
      </w:r>
      <w:r>
        <w:rPr>
          <w:color w:val="000000"/>
          <w:sz w:val="24"/>
        </w:rPr>
        <w:tab/>
      </w:r>
      <w:r>
        <w:rPr>
          <w:color w:val="000000"/>
          <w:sz w:val="24"/>
          <w:u w:val="single"/>
        </w:rPr>
        <w:t xml:space="preserve">Aktivní přístup </w:t>
      </w:r>
      <w:r w:rsidR="00B33F39">
        <w:rPr>
          <w:color w:val="000000"/>
          <w:sz w:val="24"/>
          <w:u w:val="single"/>
        </w:rPr>
        <w:t>k</w:t>
      </w:r>
      <w:r w:rsidR="0081520F">
        <w:rPr>
          <w:color w:val="000000"/>
          <w:sz w:val="24"/>
          <w:u w:val="single"/>
        </w:rPr>
        <w:t> přípojné části sítě</w:t>
      </w:r>
    </w:p>
    <w:p w14:paraId="4AE7045D" w14:textId="77777777" w:rsidR="00290298" w:rsidRDefault="00FD2D52">
      <w:pPr>
        <w:pStyle w:val="Style1"/>
        <w:numPr>
          <w:ilvl w:val="0"/>
          <w:numId w:val="23"/>
        </w:numPr>
        <w:ind w:left="425" w:hanging="425"/>
      </w:pPr>
      <w:r>
        <w:t>Předmětem nabídky aktivního přístupu ze strany Příjemce dotace je poskytování velkoobchodní služby v</w:t>
      </w:r>
      <w:r w:rsidR="0081520F">
        <w:t xml:space="preserve"> přípojné části sítě</w:t>
      </w:r>
      <w:r>
        <w:t xml:space="preserve">, a to alespoň v podobě služby datového okruhu, která je poskytována na L2 či L3 vrstvě, s rozhraním ethernet, rychlostí alespoň 1 </w:t>
      </w:r>
      <w:proofErr w:type="spellStart"/>
      <w:r>
        <w:t>Gbit</w:t>
      </w:r>
      <w:proofErr w:type="spellEnd"/>
      <w:r>
        <w:t xml:space="preserve">/s. Taková služba je poskytována na optickém vedení (za dotaci vybudovaný optický </w:t>
      </w:r>
      <w:proofErr w:type="spellStart"/>
      <w:r>
        <w:t>backhaul</w:t>
      </w:r>
      <w:proofErr w:type="spellEnd"/>
      <w:r>
        <w:t>), SLA pro dostupnost služby musí být nejméně 99,5 %/měsíc.</w:t>
      </w:r>
    </w:p>
    <w:p w14:paraId="1B9F37A2" w14:textId="77777777" w:rsidR="00290298" w:rsidRDefault="00FD2D52" w:rsidP="00F12FD5">
      <w:pPr>
        <w:pStyle w:val="Style1"/>
        <w:numPr>
          <w:ilvl w:val="0"/>
          <w:numId w:val="0"/>
        </w:numPr>
        <w:ind w:left="425" w:firstLine="1"/>
      </w:pPr>
      <w:r>
        <w:t xml:space="preserve">V případě </w:t>
      </w:r>
      <w:r w:rsidR="0081520F">
        <w:t>přípojné části sítě</w:t>
      </w:r>
      <w:r>
        <w:t xml:space="preserve"> realizované prostřednictvím mikrovlnných rádiových zařízení, je aktivní přístup ze strany Příjemce dotace poskytován za obdobných podmínek jako v případě služby datového okruhu na optickém vedení v síti páteřního připojení.</w:t>
      </w:r>
    </w:p>
    <w:p w14:paraId="4625FF25" w14:textId="77777777" w:rsidR="00290298" w:rsidRDefault="00FD2D52">
      <w:pPr>
        <w:pStyle w:val="Style1"/>
        <w:numPr>
          <w:ilvl w:val="0"/>
          <w:numId w:val="23"/>
        </w:numPr>
        <w:ind w:left="425" w:hanging="425"/>
      </w:pPr>
      <w:r>
        <w:t>Tato nabídka se může lišit v závislosti na technických možnostech a dohodě mezi Příjemcem dotace a Žadatelem o přístup. Příjemce dotace nabídne alespoň jeden přístupový bod (</w:t>
      </w:r>
      <w:proofErr w:type="spellStart"/>
      <w:r>
        <w:t>PoP</w:t>
      </w:r>
      <w:proofErr w:type="spellEnd"/>
      <w:r>
        <w:t xml:space="preserve">) </w:t>
      </w:r>
      <w:r w:rsidR="00FE1CC1">
        <w:t>pro přístup a možnost napojení k přípojné části sítě</w:t>
      </w:r>
      <w:r>
        <w:t xml:space="preserve">. </w:t>
      </w:r>
    </w:p>
    <w:p w14:paraId="3AB9F83F" w14:textId="77777777" w:rsidR="00290298" w:rsidRDefault="00FD2D52">
      <w:pPr>
        <w:pStyle w:val="Style1"/>
        <w:numPr>
          <w:ilvl w:val="0"/>
          <w:numId w:val="23"/>
        </w:numPr>
        <w:ind w:left="425" w:hanging="425"/>
      </w:pPr>
      <w:r>
        <w:t xml:space="preserve">Bude-li se prostřednictvím této nabídky přistupovat, potom základní charakteristiky a technické parametry rozhraní sítí a procesní nastavení budou pro Příjemce dotace a pro Žadatele o přístup shodná. </w:t>
      </w:r>
    </w:p>
    <w:p w14:paraId="0B755F82" w14:textId="77777777" w:rsidR="00290298" w:rsidRDefault="00FD2D52">
      <w:pPr>
        <w:pStyle w:val="Style1"/>
        <w:numPr>
          <w:ilvl w:val="0"/>
          <w:numId w:val="23"/>
        </w:numPr>
        <w:ind w:left="425" w:hanging="425"/>
      </w:pPr>
      <w:r>
        <w:t>Přístup k datovému toku v podobě služby datového okruhu je ohraničen síťovým rozhraním v místě přístupového bodu a koncovým bodem sítě</w:t>
      </w:r>
      <w:r w:rsidR="00FE1CC1">
        <w:t xml:space="preserve"> </w:t>
      </w:r>
      <w:r>
        <w:t xml:space="preserve">s definovaným rozhraním v kontejneru. Přístup je poskytován na úrovni Ethernet bez řízené agregace. Rozhraním je v závislosti na typu použitého technického řešení ethernetový port zařízení, které je v odpovědnosti Příjemce dotace, nebo takové rozhraní, které umožní připojit takové volně dostupné zařízení splňující definovanou technickou specifikaci pro dané rozhraní bez dalších dodatečných požadavků na specifickou konfiguraci síťových parametrů pro poskytnutí služby účastníkovi Žadatele o přístup. </w:t>
      </w:r>
    </w:p>
    <w:p w14:paraId="30DDB0CE" w14:textId="77777777" w:rsidR="00290298" w:rsidRDefault="00FD2D52">
      <w:pPr>
        <w:pStyle w:val="Style1"/>
        <w:numPr>
          <w:ilvl w:val="0"/>
          <w:numId w:val="0"/>
        </w:numPr>
        <w:ind w:left="425" w:firstLine="1"/>
      </w:pPr>
      <w:r>
        <w:t xml:space="preserve">Informace o použitém rozhraní bude nedílnou součástí referenční nabídky, a to v souladu s náležitostmi referenční nabídky podle těchto Pokynů. Rozhraním ve sdružovacím přístupovém bodě je Ethernet port/porty s dostačenou kapacitou (např. N x 1Gbit/s anebo N x 10Gbit/s). </w:t>
      </w:r>
    </w:p>
    <w:p w14:paraId="43D4999D" w14:textId="77777777" w:rsidR="00290298" w:rsidRDefault="00FD2D52">
      <w:pPr>
        <w:pStyle w:val="Style1"/>
        <w:numPr>
          <w:ilvl w:val="0"/>
          <w:numId w:val="23"/>
        </w:numPr>
        <w:ind w:left="425" w:hanging="425"/>
      </w:pPr>
      <w:r>
        <w:t>Pokud to technologie umožňuje, Příjemce dotace je povinen nad rámec služ</w:t>
      </w:r>
      <w:r w:rsidR="00F015A4">
        <w:t>eb</w:t>
      </w:r>
      <w:r>
        <w:t xml:space="preserve"> aktivního přístupu</w:t>
      </w:r>
      <w:r w:rsidR="009566C5">
        <w:t xml:space="preserve"> uvedených v bodě 4</w:t>
      </w:r>
      <w:r>
        <w:t xml:space="preserve"> nabídnout i doplňko</w:t>
      </w:r>
      <w:r w:rsidR="009566C5">
        <w:t>vé</w:t>
      </w:r>
      <w:r>
        <w:t xml:space="preserve"> služb</w:t>
      </w:r>
      <w:r w:rsidR="009566C5">
        <w:t>y aktivního přístupu.</w:t>
      </w:r>
    </w:p>
    <w:p w14:paraId="4E160083" w14:textId="77777777" w:rsidR="00290298" w:rsidRDefault="00FD2D52">
      <w:pPr>
        <w:pStyle w:val="Style1"/>
        <w:numPr>
          <w:ilvl w:val="0"/>
          <w:numId w:val="23"/>
        </w:numPr>
        <w:ind w:left="425" w:hanging="425"/>
      </w:pPr>
      <w:r>
        <w:t>V případě změny konfigurace sítě páteřního připojení s dopadem na službu musí Příjemce dotace tyto změny předem oznámit a předat tyto parametry Žadateli o přístup. K předávání a případné kontrole parametrů musí být Příjemcem dotace vytvořen příslušný mechanismus</w:t>
      </w:r>
      <w:r>
        <w:rPr>
          <w:rFonts w:eastAsia="Calibri" w:cs="Calibri"/>
        </w:rPr>
        <w:t>.</w:t>
      </w:r>
    </w:p>
    <w:p w14:paraId="3D1E91AF" w14:textId="77777777" w:rsidR="00290298" w:rsidRDefault="00C9098F">
      <w:pPr>
        <w:pStyle w:val="Style1"/>
        <w:numPr>
          <w:ilvl w:val="0"/>
          <w:numId w:val="23"/>
        </w:numPr>
        <w:ind w:left="425" w:hanging="425"/>
      </w:pPr>
      <w:r>
        <w:t>Příjemce dotace</w:t>
      </w:r>
      <w:r w:rsidR="00FD2D52">
        <w:t xml:space="preserve"> může poskytnout plnění či část plnění</w:t>
      </w:r>
      <w:r>
        <w:t xml:space="preserve"> velkoobchodní nabídky</w:t>
      </w:r>
      <w:r w:rsidR="00FD2D52">
        <w:t xml:space="preserve"> pomocí velkoobchodního partnera.</w:t>
      </w:r>
    </w:p>
    <w:p w14:paraId="58C7B639" w14:textId="77777777" w:rsidR="00C9098F" w:rsidRDefault="00C9098F" w:rsidP="00F12FD5">
      <w:pPr>
        <w:pStyle w:val="Style1"/>
        <w:numPr>
          <w:ilvl w:val="0"/>
          <w:numId w:val="0"/>
        </w:numPr>
        <w:ind w:left="425"/>
      </w:pPr>
    </w:p>
    <w:p w14:paraId="00A685C6" w14:textId="77777777" w:rsidR="00C9098F" w:rsidRDefault="00C9098F" w:rsidP="00C9098F">
      <w:pPr>
        <w:spacing w:after="76"/>
        <w:ind w:left="425" w:hanging="425"/>
        <w:rPr>
          <w:color w:val="000000"/>
          <w:sz w:val="24"/>
          <w:u w:val="single"/>
        </w:rPr>
      </w:pPr>
      <w:r w:rsidRPr="00F12FD5">
        <w:rPr>
          <w:color w:val="000000"/>
          <w:sz w:val="24"/>
        </w:rPr>
        <w:t xml:space="preserve">3.3 </w:t>
      </w:r>
      <w:r>
        <w:rPr>
          <w:color w:val="000000"/>
          <w:sz w:val="24"/>
          <w:u w:val="single"/>
        </w:rPr>
        <w:t xml:space="preserve">Aktivní přístup </w:t>
      </w:r>
      <w:r w:rsidR="009A6ED5">
        <w:rPr>
          <w:color w:val="000000"/>
          <w:sz w:val="24"/>
          <w:u w:val="single"/>
        </w:rPr>
        <w:t>k</w:t>
      </w:r>
      <w:r w:rsidR="00A85C2B">
        <w:rPr>
          <w:color w:val="000000"/>
          <w:sz w:val="24"/>
          <w:u w:val="single"/>
        </w:rPr>
        <w:t> </w:t>
      </w:r>
      <w:r>
        <w:rPr>
          <w:color w:val="000000"/>
          <w:sz w:val="24"/>
          <w:u w:val="single"/>
        </w:rPr>
        <w:t>mobilní</w:t>
      </w:r>
      <w:r w:rsidR="00A85C2B">
        <w:rPr>
          <w:color w:val="000000"/>
          <w:sz w:val="24"/>
          <w:u w:val="single"/>
        </w:rPr>
        <w:t xml:space="preserve"> přístupové</w:t>
      </w:r>
      <w:r>
        <w:rPr>
          <w:color w:val="000000"/>
          <w:sz w:val="24"/>
          <w:u w:val="single"/>
        </w:rPr>
        <w:t xml:space="preserve"> síti</w:t>
      </w:r>
    </w:p>
    <w:p w14:paraId="0F66A0F9" w14:textId="77777777" w:rsidR="00C9098F" w:rsidRDefault="00C9098F" w:rsidP="00C9098F">
      <w:pPr>
        <w:pStyle w:val="Odstavecseseznamem"/>
        <w:numPr>
          <w:ilvl w:val="0"/>
          <w:numId w:val="23"/>
        </w:numPr>
        <w:spacing w:after="76"/>
        <w:ind w:left="426" w:hanging="426"/>
      </w:pPr>
      <w:r>
        <w:t xml:space="preserve">Předmětem nabídky aktivního přístupu ze strany Příjemce dotace je poskytování velkoobchodní služby v mobilní přístupové síti, a to alespoň v podobě služby roamingu, která je poskytována ve všech kmitočtových pásmech a v rozsahu mobilních technologií provozovaných </w:t>
      </w:r>
      <w:r w:rsidR="000A209D">
        <w:t>mobilním operátorem</w:t>
      </w:r>
      <w:r>
        <w:t xml:space="preserve"> na infrastruktuře podpořené v této výzvě. Takovou službou se rozumí přístup k</w:t>
      </w:r>
      <w:r w:rsidR="003B4EFA">
        <w:t> </w:t>
      </w:r>
      <w:r>
        <w:t>veřejné</w:t>
      </w:r>
      <w:r w:rsidR="003B4EFA">
        <w:t xml:space="preserve"> </w:t>
      </w:r>
      <w:r>
        <w:t xml:space="preserve">komunikační síti provozované </w:t>
      </w:r>
      <w:r w:rsidR="000A209D">
        <w:t>mobilním operátorem</w:t>
      </w:r>
      <w:r>
        <w:t>, využívané k poskytování veřejně dostupných služeb elektronických komunikací prostřednictvím (i) 2G, 3G a 4G technologií v plném rozsahu služeb (vč. dat, hlasu, SMS), a (</w:t>
      </w:r>
      <w:proofErr w:type="spellStart"/>
      <w:r>
        <w:t>ii</w:t>
      </w:r>
      <w:proofErr w:type="spellEnd"/>
      <w:r>
        <w:t>) 5G technologií v rozsahu služby přístupu k internetu EBB (</w:t>
      </w:r>
      <w:proofErr w:type="spellStart"/>
      <w:r>
        <w:t>enhanced</w:t>
      </w:r>
      <w:proofErr w:type="spellEnd"/>
      <w:r>
        <w:t xml:space="preserve"> </w:t>
      </w:r>
      <w:proofErr w:type="spellStart"/>
      <w:r>
        <w:t>broadband</w:t>
      </w:r>
      <w:proofErr w:type="spellEnd"/>
      <w:r>
        <w:t xml:space="preserve">) a datových služeb za </w:t>
      </w:r>
      <w:r>
        <w:lastRenderedPageBreak/>
        <w:t>účelem poskytování ekvivalentu hlasových služeb a SMS v kvalitě neznemožňující poskytování takových služeb.</w:t>
      </w:r>
      <w:r w:rsidR="000F2438">
        <w:t xml:space="preserve"> Cílem je umožnit Žadateli o přístup věcně replikovat </w:t>
      </w:r>
      <w:r w:rsidR="007E6FE0">
        <w:t xml:space="preserve">svým zákazníkům </w:t>
      </w:r>
      <w:r w:rsidR="000F2438">
        <w:t xml:space="preserve">nabídku </w:t>
      </w:r>
      <w:r w:rsidR="007E6FE0">
        <w:t xml:space="preserve">mobilních komunikačních </w:t>
      </w:r>
      <w:r w:rsidR="000F2438">
        <w:t>služeb mobilního operátora (zejména co do rozsahu nabízených služeb volání, SMS a přístupu k internetu)</w:t>
      </w:r>
      <w:r w:rsidR="007E6FE0">
        <w:t xml:space="preserve"> poskytujícího </w:t>
      </w:r>
      <w:r w:rsidR="00C453DE">
        <w:t xml:space="preserve">velkoobchodní přístup v podobě </w:t>
      </w:r>
      <w:r w:rsidR="007E6FE0">
        <w:t>služby roamingu.</w:t>
      </w:r>
    </w:p>
    <w:p w14:paraId="6F3A3218" w14:textId="77777777" w:rsidR="00C9098F" w:rsidRDefault="00C9098F" w:rsidP="00C9098F">
      <w:pPr>
        <w:pStyle w:val="Style1"/>
        <w:numPr>
          <w:ilvl w:val="0"/>
          <w:numId w:val="23"/>
        </w:numPr>
        <w:ind w:left="425" w:hanging="425"/>
      </w:pPr>
      <w:r>
        <w:t xml:space="preserve">Tato nabídka se může lišit v závislosti na technických možnostech a dohodě mezi Příjemcem </w:t>
      </w:r>
      <w:r w:rsidR="00FF11FE">
        <w:t xml:space="preserve">dotace, respektive mobilním operátorem </w:t>
      </w:r>
      <w:r>
        <w:t>a Žadatelem o přístup.</w:t>
      </w:r>
    </w:p>
    <w:p w14:paraId="26A0AC8F" w14:textId="77777777" w:rsidR="00C9098F" w:rsidRDefault="00C9098F" w:rsidP="00C9098F">
      <w:pPr>
        <w:pStyle w:val="Style1"/>
        <w:numPr>
          <w:ilvl w:val="0"/>
          <w:numId w:val="23"/>
        </w:numPr>
        <w:ind w:left="425" w:hanging="425"/>
      </w:pPr>
      <w:r>
        <w:t xml:space="preserve">Bude-li se prostřednictvím této nabídky přistupovat, potom základní charakteristiky a technické parametry rozhraní sítí a procesní nastavení budou pro </w:t>
      </w:r>
      <w:r w:rsidR="00FF11FE">
        <w:t>mobilního operátora</w:t>
      </w:r>
      <w:r>
        <w:t xml:space="preserve"> a pro Žadatele o přístup shodná. </w:t>
      </w:r>
    </w:p>
    <w:p w14:paraId="7D08A01E" w14:textId="77777777" w:rsidR="00463A61" w:rsidRDefault="00C9098F" w:rsidP="00463A61">
      <w:pPr>
        <w:pStyle w:val="Style1"/>
        <w:numPr>
          <w:ilvl w:val="0"/>
          <w:numId w:val="23"/>
        </w:numPr>
        <w:ind w:left="425" w:hanging="425"/>
      </w:pPr>
      <w:r>
        <w:t xml:space="preserve">V případě změny konfigurace sítě s dopadem na službu musí </w:t>
      </w:r>
      <w:r w:rsidR="00FF11FE">
        <w:t xml:space="preserve">mobilní operátor </w:t>
      </w:r>
      <w:r>
        <w:t xml:space="preserve">tyto změny předem oznámit a předat tyto parametry Žadateli o přístup. K předávání a případné kontrole parametrů musí být </w:t>
      </w:r>
      <w:r w:rsidR="00FF11FE">
        <w:t xml:space="preserve">mobilním operátorem </w:t>
      </w:r>
      <w:r>
        <w:t>vytvořen příslušný mechanismus</w:t>
      </w:r>
      <w:r>
        <w:rPr>
          <w:rFonts w:eastAsia="Calibri" w:cs="Calibri"/>
        </w:rPr>
        <w:t>.</w:t>
      </w:r>
    </w:p>
    <w:p w14:paraId="4EF3AB9D" w14:textId="77777777" w:rsidR="00E6109C" w:rsidRDefault="00463A61" w:rsidP="00F12FD5">
      <w:pPr>
        <w:pStyle w:val="Style1"/>
        <w:numPr>
          <w:ilvl w:val="0"/>
          <w:numId w:val="23"/>
        </w:numPr>
        <w:ind w:left="425" w:hanging="425"/>
      </w:pPr>
      <w:r>
        <w:rPr>
          <w:rFonts w:eastAsia="Calibri" w:cs="Calibri"/>
        </w:rPr>
        <w:t xml:space="preserve">Příjemce dotace je povinen zajistit nabídku služby roamingu u všech mobilních operátorů provozujících mobilní technologie na infrastruktuře podpořené v této výzvě. </w:t>
      </w:r>
    </w:p>
    <w:p w14:paraId="750B84AB" w14:textId="77777777" w:rsidR="00290298" w:rsidRDefault="00290298">
      <w:pPr>
        <w:pStyle w:val="Style1"/>
        <w:numPr>
          <w:ilvl w:val="0"/>
          <w:numId w:val="0"/>
        </w:numPr>
        <w:ind w:left="1068" w:hanging="360"/>
      </w:pPr>
    </w:p>
    <w:p w14:paraId="55ED7DC5" w14:textId="77777777" w:rsidR="00290298" w:rsidRDefault="00FD2D52">
      <w:pPr>
        <w:spacing w:after="76"/>
        <w:ind w:left="425" w:hanging="425"/>
      </w:pPr>
      <w:r>
        <w:rPr>
          <w:color w:val="000000"/>
          <w:sz w:val="24"/>
        </w:rPr>
        <w:t>3.</w:t>
      </w:r>
      <w:r w:rsidR="00510F60">
        <w:rPr>
          <w:color w:val="000000"/>
          <w:sz w:val="24"/>
        </w:rPr>
        <w:t>4</w:t>
      </w:r>
      <w:r>
        <w:rPr>
          <w:color w:val="000000"/>
          <w:sz w:val="24"/>
        </w:rPr>
        <w:tab/>
      </w:r>
      <w:r>
        <w:rPr>
          <w:color w:val="000000"/>
          <w:sz w:val="24"/>
          <w:u w:val="single"/>
        </w:rPr>
        <w:t>Zajištění povinností velkoobchodní nabídky velkoobchodním partnerem</w:t>
      </w:r>
    </w:p>
    <w:p w14:paraId="12FECCE7" w14:textId="77777777" w:rsidR="00290298" w:rsidRDefault="00510F60">
      <w:pPr>
        <w:pStyle w:val="Style1"/>
        <w:numPr>
          <w:ilvl w:val="0"/>
          <w:numId w:val="23"/>
        </w:numPr>
        <w:ind w:left="425" w:hanging="425"/>
      </w:pPr>
      <w:r>
        <w:t>Příjemce dotace</w:t>
      </w:r>
      <w:r w:rsidR="00FD2D52" w:rsidRPr="00F12FD5">
        <w:t xml:space="preserve"> může povinný rozsah velkoobchodních služeb zajistit buď sám nebo za pomoci svého přímého velkoobchodního partnera</w:t>
      </w:r>
      <w:r>
        <w:t xml:space="preserve"> nebo mobilního operátora </w:t>
      </w:r>
      <w:r w:rsidR="00FD2D52" w:rsidRPr="00F12FD5">
        <w:t>přistupujícího na podporovanou infrastrukturu</w:t>
      </w:r>
      <w:r>
        <w:t xml:space="preserve"> či aktivní část mobilní přístupové sítě</w:t>
      </w:r>
      <w:r w:rsidR="00FD2D52" w:rsidRPr="00F12FD5">
        <w:t xml:space="preserve">. Tím se rozumí zejména zajištění služeb aktivního přístupu, tedy služeb, které </w:t>
      </w:r>
      <w:r>
        <w:t xml:space="preserve">Příjemce dotace </w:t>
      </w:r>
      <w:r w:rsidR="00CF15EA">
        <w:t>nebo mobilní operátor</w:t>
      </w:r>
      <w:r w:rsidR="00FD2D52" w:rsidRPr="00F12FD5">
        <w:t xml:space="preserve"> nemusí běžně poskytovat. V případě, že je alespoň jedna povinná služba velkoobchodního přístupu poskytována skrze přímého velkoobchodního partnera</w:t>
      </w:r>
      <w:r w:rsidR="00CF15EA">
        <w:t xml:space="preserve"> nebo mobilního operátora</w:t>
      </w:r>
      <w:r w:rsidR="00FD2D52" w:rsidRPr="00F12FD5">
        <w:t xml:space="preserve">, je </w:t>
      </w:r>
      <w:r w:rsidR="00CF15EA">
        <w:t>Příjemce dotace</w:t>
      </w:r>
      <w:r w:rsidR="00FD2D52" w:rsidRPr="00F12FD5">
        <w:t xml:space="preserve"> povinen tuto skutečnost smluvně zajistit.</w:t>
      </w:r>
      <w:r w:rsidR="00CB1F6D">
        <w:t xml:space="preserve"> </w:t>
      </w:r>
    </w:p>
    <w:p w14:paraId="540787B1" w14:textId="77777777" w:rsidR="00CF15EA" w:rsidRPr="00F12FD5" w:rsidRDefault="00CF15EA" w:rsidP="00F12FD5">
      <w:pPr>
        <w:pStyle w:val="Style1"/>
        <w:numPr>
          <w:ilvl w:val="0"/>
          <w:numId w:val="0"/>
        </w:numPr>
        <w:ind w:left="425"/>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155331CD" w14:textId="77777777">
        <w:tc>
          <w:tcPr>
            <w:tcW w:w="9775" w:type="dxa"/>
            <w:shd w:val="clear" w:color="auto" w:fill="auto"/>
            <w:tcMar>
              <w:top w:w="0" w:type="dxa"/>
              <w:left w:w="108" w:type="dxa"/>
              <w:bottom w:w="0" w:type="dxa"/>
              <w:right w:w="108" w:type="dxa"/>
            </w:tcMar>
          </w:tcPr>
          <w:p w14:paraId="3FED7FF8" w14:textId="77777777" w:rsidR="00290298" w:rsidRDefault="00FD2D52">
            <w:pPr>
              <w:shd w:val="clear" w:color="auto" w:fill="D9E2F3"/>
              <w:spacing w:before="120" w:after="120" w:line="276" w:lineRule="auto"/>
              <w:ind w:left="482" w:hanging="425"/>
            </w:pPr>
            <w:r>
              <w:rPr>
                <w:rFonts w:eastAsia="Calibri" w:cs="Calibri"/>
                <w:b/>
                <w:sz w:val="24"/>
              </w:rPr>
              <w:t xml:space="preserve">4. </w:t>
            </w:r>
            <w:r>
              <w:rPr>
                <w:rFonts w:eastAsia="Calibri" w:cs="Calibri"/>
                <w:b/>
                <w:sz w:val="24"/>
              </w:rPr>
              <w:tab/>
              <w:t>Poskytování informací o volné kapacitě v infrastruktuře</w:t>
            </w:r>
          </w:p>
        </w:tc>
      </w:tr>
    </w:tbl>
    <w:p w14:paraId="33AA3DBF" w14:textId="77777777" w:rsidR="00290298" w:rsidRDefault="00FD2D52">
      <w:pPr>
        <w:pStyle w:val="Style1"/>
        <w:numPr>
          <w:ilvl w:val="0"/>
          <w:numId w:val="23"/>
        </w:numPr>
        <w:ind w:left="425" w:hanging="425"/>
      </w:pPr>
      <w:r>
        <w:t>V pasivní infrastruktuře a</w:t>
      </w:r>
      <w:r>
        <w:rPr>
          <w:rFonts w:eastAsia="Calibri" w:cs="Calibri"/>
        </w:rPr>
        <w:t xml:space="preserve"> </w:t>
      </w:r>
      <w:r>
        <w:t>nenasvícených vláknech budované s využitím dotací a</w:t>
      </w:r>
      <w:r>
        <w:rPr>
          <w:rFonts w:eastAsia="Calibri" w:cs="Calibri"/>
        </w:rPr>
        <w:t xml:space="preserve"> v </w:t>
      </w:r>
      <w:r>
        <w:t xml:space="preserve">související nedotované aktivní infrastruktuře musí být vyhrazena volná kapacita pro </w:t>
      </w:r>
      <w:r w:rsidR="001610DF">
        <w:t>4</w:t>
      </w:r>
      <w:r>
        <w:t xml:space="preserve"> potenciální </w:t>
      </w:r>
      <w:r w:rsidR="001610DF">
        <w:t>Žadatele o přístup</w:t>
      </w:r>
      <w:r>
        <w:t>.</w:t>
      </w:r>
      <w:r>
        <w:rPr>
          <w:rFonts w:eastAsia="Calibri" w:cs="Calibri"/>
        </w:rPr>
        <w:t xml:space="preserve"> </w:t>
      </w:r>
    </w:p>
    <w:p w14:paraId="250F8BAD" w14:textId="77777777" w:rsidR="00290298" w:rsidRDefault="00FD2D52">
      <w:pPr>
        <w:pStyle w:val="Style1"/>
        <w:numPr>
          <w:ilvl w:val="0"/>
          <w:numId w:val="23"/>
        </w:numPr>
        <w:ind w:left="425" w:hanging="425"/>
      </w:pPr>
      <w:r>
        <w:t xml:space="preserve">V případě využití celé nebo části této kapacity se změní možná volná kapacita využitelná ze strany dalšího potenciálního </w:t>
      </w:r>
      <w:r w:rsidR="001610DF">
        <w:t>Žadatele o přístup</w:t>
      </w:r>
      <w:r>
        <w:t>. S</w:t>
      </w:r>
      <w:r>
        <w:rPr>
          <w:rFonts w:eastAsia="Calibri" w:cs="Calibri"/>
        </w:rPr>
        <w:t xml:space="preserve"> </w:t>
      </w:r>
      <w:r>
        <w:t>ohledem na transparentnost informací je nezbytné, aby byly všem</w:t>
      </w:r>
      <w:r>
        <w:rPr>
          <w:rFonts w:eastAsia="Calibri" w:cs="Calibri"/>
        </w:rPr>
        <w:t xml:space="preserve"> </w:t>
      </w:r>
      <w:r>
        <w:t xml:space="preserve">potenciálním </w:t>
      </w:r>
      <w:r w:rsidR="001610DF">
        <w:t>Žadatelům o přístup</w:t>
      </w:r>
      <w:r>
        <w:t xml:space="preserve"> k</w:t>
      </w:r>
      <w:r>
        <w:rPr>
          <w:rFonts w:eastAsia="Calibri" w:cs="Calibri"/>
        </w:rPr>
        <w:t xml:space="preserve"> </w:t>
      </w:r>
      <w:r>
        <w:t xml:space="preserve">dispozici aktuální informace </w:t>
      </w:r>
      <w:r>
        <w:rPr>
          <w:rFonts w:eastAsia="Calibri" w:cs="Calibri"/>
        </w:rPr>
        <w:t xml:space="preserve">o </w:t>
      </w:r>
      <w:r>
        <w:t xml:space="preserve">možnostech využití pasivní infrastruktury a nenasvícených vláken. </w:t>
      </w:r>
    </w:p>
    <w:p w14:paraId="606E23AB" w14:textId="77777777" w:rsidR="00290298" w:rsidRDefault="00FD2D52">
      <w:pPr>
        <w:pStyle w:val="Style1"/>
        <w:numPr>
          <w:ilvl w:val="0"/>
          <w:numId w:val="23"/>
        </w:numPr>
        <w:ind w:left="425" w:hanging="425"/>
      </w:pPr>
      <w:r>
        <w:t>Informace o volných kapacitách pasivní infrastruktury a</w:t>
      </w:r>
      <w:r>
        <w:rPr>
          <w:rFonts w:eastAsia="Calibri" w:cs="Calibri"/>
        </w:rPr>
        <w:t xml:space="preserve"> </w:t>
      </w:r>
      <w:r>
        <w:t>nenasvícených vláknech bude Příjemce</w:t>
      </w:r>
      <w:r>
        <w:rPr>
          <w:rFonts w:eastAsia="Calibri" w:cs="Calibri"/>
        </w:rPr>
        <w:t xml:space="preserve"> dotace poskytovat elektroni</w:t>
      </w:r>
      <w:r>
        <w:t>ckou cestou na vyžádání pro konkrétní poptanou lokalitu a/nebo trasu</w:t>
      </w:r>
      <w:r>
        <w:rPr>
          <w:rFonts w:eastAsia="Calibri" w:cs="Calibri"/>
        </w:rPr>
        <w:t xml:space="preserve"> v </w:t>
      </w:r>
      <w:r>
        <w:t xml:space="preserve">případě </w:t>
      </w:r>
      <w:r w:rsidR="00FE1CC1">
        <w:t>přípojné části sítě</w:t>
      </w:r>
      <w:r>
        <w:rPr>
          <w:rFonts w:eastAsia="Calibri" w:cs="Calibri"/>
        </w:rPr>
        <w:t xml:space="preserve">, a </w:t>
      </w:r>
      <w:r>
        <w:t>to ve lhůtě do 3 pracovních dnů od obdržení úplné žádosti</w:t>
      </w:r>
      <w:r>
        <w:rPr>
          <w:rFonts w:eastAsia="Calibri" w:cs="Calibri"/>
        </w:rPr>
        <w:t xml:space="preserve"> o informaci. </w:t>
      </w:r>
    </w:p>
    <w:p w14:paraId="7C5B3D52" w14:textId="77777777" w:rsidR="00290298" w:rsidRDefault="00FD2D52">
      <w:pPr>
        <w:pStyle w:val="Style1"/>
        <w:numPr>
          <w:ilvl w:val="0"/>
          <w:numId w:val="23"/>
        </w:numPr>
        <w:ind w:left="425" w:hanging="425"/>
      </w:pPr>
      <w:r>
        <w:rPr>
          <w:rFonts w:eastAsia="Calibri" w:cs="Calibri"/>
        </w:rPr>
        <w:t xml:space="preserve">Informace o </w:t>
      </w:r>
      <w:r>
        <w:t>volných kapacitách mohou podléhat ověření místním fyzickým šetřením provedeným nejpozději do 15 pracovních dnů od podání žádosti</w:t>
      </w:r>
      <w:r>
        <w:rPr>
          <w:rFonts w:eastAsia="Calibri" w:cs="Calibri"/>
        </w:rPr>
        <w:t xml:space="preserve"> o </w:t>
      </w:r>
      <w:r>
        <w:t>místní fyzické šetření</w:t>
      </w:r>
      <w:r>
        <w:rPr>
          <w:rFonts w:eastAsia="Calibri" w:cs="Calibri"/>
        </w:rPr>
        <w:t xml:space="preserve">. </w:t>
      </w:r>
    </w:p>
    <w:p w14:paraId="534C69B3" w14:textId="77777777" w:rsidR="00290298" w:rsidRDefault="00290298">
      <w:pPr>
        <w:pStyle w:val="Style1"/>
        <w:numPr>
          <w:ilvl w:val="0"/>
          <w:numId w:val="0"/>
        </w:numPr>
        <w:ind w:left="1068" w:hanging="360"/>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0529F1BC" w14:textId="77777777">
        <w:tc>
          <w:tcPr>
            <w:tcW w:w="9775" w:type="dxa"/>
            <w:shd w:val="clear" w:color="auto" w:fill="auto"/>
            <w:tcMar>
              <w:top w:w="0" w:type="dxa"/>
              <w:left w:w="108" w:type="dxa"/>
              <w:bottom w:w="0" w:type="dxa"/>
              <w:right w:w="108" w:type="dxa"/>
            </w:tcMar>
          </w:tcPr>
          <w:p w14:paraId="357FDC0F" w14:textId="77777777" w:rsidR="00290298" w:rsidRDefault="00FD2D52">
            <w:pPr>
              <w:shd w:val="clear" w:color="auto" w:fill="D9E2F3"/>
              <w:spacing w:before="120" w:after="120" w:line="276" w:lineRule="auto"/>
              <w:ind w:left="482" w:hanging="425"/>
            </w:pPr>
            <w:r>
              <w:rPr>
                <w:rFonts w:eastAsia="Calibri" w:cs="Calibri"/>
                <w:b/>
                <w:sz w:val="24"/>
              </w:rPr>
              <w:t xml:space="preserve">5. </w:t>
            </w:r>
            <w:r>
              <w:rPr>
                <w:rFonts w:eastAsia="Calibri" w:cs="Calibri"/>
                <w:b/>
                <w:sz w:val="24"/>
              </w:rPr>
              <w:tab/>
              <w:t>Požadavky na minimální soubor SLA a sankce podle jednotlivých typů přístupu</w:t>
            </w:r>
          </w:p>
        </w:tc>
      </w:tr>
    </w:tbl>
    <w:p w14:paraId="352B7B4F" w14:textId="77777777" w:rsidR="00290298" w:rsidRDefault="00FD2D52">
      <w:pPr>
        <w:pStyle w:val="Style1"/>
        <w:numPr>
          <w:ilvl w:val="0"/>
          <w:numId w:val="23"/>
        </w:numPr>
        <w:ind w:left="425" w:hanging="425"/>
      </w:pPr>
      <w:r>
        <w:rPr>
          <w:rFonts w:eastAsia="Calibri" w:cs="Calibri"/>
        </w:rPr>
        <w:t>Níže</w:t>
      </w:r>
      <w:r>
        <w:t xml:space="preserve"> uvedená tabulka uvádí přehled povinných a</w:t>
      </w:r>
      <w:r>
        <w:rPr>
          <w:rFonts w:eastAsia="Calibri" w:cs="Calibri"/>
        </w:rPr>
        <w:t xml:space="preserve"> </w:t>
      </w:r>
      <w:r>
        <w:t>volitelných parametrů kvality pro jednotlivé typy přístupu:</w:t>
      </w:r>
      <w:r>
        <w:rPr>
          <w:rFonts w:eastAsia="Calibri" w:cs="Calibri"/>
        </w:rPr>
        <w:t xml:space="preserve"> </w:t>
      </w:r>
    </w:p>
    <w:tbl>
      <w:tblPr>
        <w:tblW w:w="9355" w:type="dxa"/>
        <w:tblInd w:w="421" w:type="dxa"/>
        <w:tblCellMar>
          <w:left w:w="10" w:type="dxa"/>
          <w:right w:w="10" w:type="dxa"/>
        </w:tblCellMar>
        <w:tblLook w:val="0000" w:firstRow="0" w:lastRow="0" w:firstColumn="0" w:lastColumn="0" w:noHBand="0" w:noVBand="0"/>
      </w:tblPr>
      <w:tblGrid>
        <w:gridCol w:w="3260"/>
        <w:gridCol w:w="2835"/>
        <w:gridCol w:w="3260"/>
      </w:tblGrid>
      <w:tr w:rsidR="00290298" w14:paraId="132EFBEF" w14:textId="77777777">
        <w:trPr>
          <w:trHeight w:val="36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66083" w14:textId="77777777" w:rsidR="00290298" w:rsidRDefault="00FD2D52">
            <w:pPr>
              <w:overflowPunct/>
              <w:autoSpaceDE/>
              <w:textAlignment w:val="auto"/>
              <w:rPr>
                <w:rFonts w:cs="Calibri"/>
                <w:b/>
                <w:bCs/>
                <w:color w:val="000000"/>
                <w:sz w:val="20"/>
                <w:szCs w:val="22"/>
              </w:rPr>
            </w:pPr>
            <w:r>
              <w:rPr>
                <w:rFonts w:cs="Calibri"/>
                <w:b/>
                <w:bCs/>
                <w:color w:val="000000"/>
                <w:sz w:val="20"/>
                <w:szCs w:val="22"/>
              </w:rPr>
              <w:t>Parametr kvality</w:t>
            </w:r>
          </w:p>
        </w:tc>
        <w:tc>
          <w:tcPr>
            <w:tcW w:w="28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516120" w14:textId="77777777" w:rsidR="00290298" w:rsidRDefault="00FD2D52">
            <w:pPr>
              <w:overflowPunct/>
              <w:autoSpaceDE/>
              <w:jc w:val="center"/>
              <w:textAlignment w:val="auto"/>
            </w:pPr>
            <w:r>
              <w:rPr>
                <w:rFonts w:cs="Calibri"/>
                <w:b/>
                <w:bCs/>
                <w:color w:val="000000"/>
                <w:sz w:val="20"/>
                <w:szCs w:val="22"/>
              </w:rPr>
              <w:t>Služby pasivního přístupu</w:t>
            </w:r>
          </w:p>
        </w:tc>
        <w:tc>
          <w:tcPr>
            <w:tcW w:w="326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07D2CE" w14:textId="77777777" w:rsidR="00290298" w:rsidRDefault="00FD2D52">
            <w:pPr>
              <w:overflowPunct/>
              <w:autoSpaceDE/>
              <w:jc w:val="center"/>
              <w:textAlignment w:val="auto"/>
            </w:pPr>
            <w:r>
              <w:rPr>
                <w:rFonts w:cs="Calibri"/>
                <w:b/>
                <w:bCs/>
                <w:color w:val="000000"/>
                <w:sz w:val="20"/>
                <w:szCs w:val="22"/>
              </w:rPr>
              <w:t>Služby aktivního přístupu</w:t>
            </w:r>
          </w:p>
        </w:tc>
      </w:tr>
      <w:tr w:rsidR="00290298" w14:paraId="435D61BA" w14:textId="77777777">
        <w:trPr>
          <w:trHeight w:val="369"/>
        </w:trPr>
        <w:tc>
          <w:tcPr>
            <w:tcW w:w="3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3C42A" w14:textId="77777777" w:rsidR="00290298" w:rsidRDefault="00FD2D52">
            <w:pPr>
              <w:overflowPunct/>
              <w:autoSpaceDE/>
              <w:textAlignment w:val="auto"/>
              <w:rPr>
                <w:rFonts w:cs="Calibri"/>
                <w:color w:val="000000"/>
                <w:sz w:val="20"/>
                <w:szCs w:val="22"/>
              </w:rPr>
            </w:pPr>
            <w:r>
              <w:rPr>
                <w:rFonts w:cs="Calibri"/>
                <w:color w:val="000000"/>
                <w:sz w:val="20"/>
                <w:szCs w:val="22"/>
              </w:rPr>
              <w:t>Doba zřízení služby přístupu</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9258C"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c>
          <w:tcPr>
            <w:tcW w:w="326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F23EBC"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r>
      <w:tr w:rsidR="00290298" w14:paraId="795C814A" w14:textId="77777777">
        <w:trPr>
          <w:trHeight w:val="369"/>
        </w:trPr>
        <w:tc>
          <w:tcPr>
            <w:tcW w:w="3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7AF595" w14:textId="77777777" w:rsidR="00290298" w:rsidRDefault="00FD2D52">
            <w:pPr>
              <w:overflowPunct/>
              <w:autoSpaceDE/>
              <w:textAlignment w:val="auto"/>
              <w:rPr>
                <w:rFonts w:cs="Calibri"/>
                <w:color w:val="000000"/>
                <w:sz w:val="20"/>
                <w:szCs w:val="22"/>
              </w:rPr>
            </w:pPr>
            <w:r>
              <w:rPr>
                <w:rFonts w:cs="Calibri"/>
                <w:color w:val="000000"/>
                <w:sz w:val="20"/>
                <w:szCs w:val="22"/>
              </w:rPr>
              <w:t>Měsíční dostupnost</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2C4D3D" w14:textId="77777777" w:rsidR="00290298" w:rsidRDefault="00FD2D52">
            <w:pPr>
              <w:overflowPunct/>
              <w:autoSpaceDE/>
              <w:jc w:val="center"/>
              <w:textAlignment w:val="auto"/>
            </w:pPr>
            <w:r>
              <w:rPr>
                <w:rFonts w:cs="Calibri"/>
                <w:color w:val="000000"/>
                <w:sz w:val="20"/>
                <w:szCs w:val="22"/>
              </w:rPr>
              <w:t xml:space="preserve">Volitelný; </w:t>
            </w:r>
            <w:r>
              <w:rPr>
                <w:rFonts w:cs="Calibri"/>
                <w:color w:val="000000"/>
                <w:sz w:val="20"/>
                <w:szCs w:val="22"/>
              </w:rPr>
              <w:br/>
              <w:t>povinný pouze pro nenasvícené vlákno</w:t>
            </w:r>
          </w:p>
        </w:tc>
        <w:tc>
          <w:tcPr>
            <w:tcW w:w="326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9BFD99"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r>
      <w:tr w:rsidR="00290298" w14:paraId="0893E989" w14:textId="77777777">
        <w:trPr>
          <w:trHeight w:val="369"/>
        </w:trPr>
        <w:tc>
          <w:tcPr>
            <w:tcW w:w="3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D8E240" w14:textId="77777777" w:rsidR="00290298" w:rsidRDefault="00FD2D52">
            <w:pPr>
              <w:overflowPunct/>
              <w:autoSpaceDE/>
              <w:textAlignment w:val="auto"/>
              <w:rPr>
                <w:rFonts w:cs="Calibri"/>
                <w:color w:val="000000"/>
                <w:sz w:val="20"/>
                <w:szCs w:val="22"/>
              </w:rPr>
            </w:pPr>
            <w:r>
              <w:rPr>
                <w:rFonts w:cs="Calibri"/>
                <w:color w:val="000000"/>
                <w:sz w:val="20"/>
                <w:szCs w:val="22"/>
              </w:rPr>
              <w:t>Doba opravy služby</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6CA084"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c>
          <w:tcPr>
            <w:tcW w:w="326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56DE1D"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r>
      <w:tr w:rsidR="00290298" w14:paraId="46F73C93" w14:textId="77777777">
        <w:trPr>
          <w:trHeight w:val="369"/>
        </w:trPr>
        <w:tc>
          <w:tcPr>
            <w:tcW w:w="3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72EEEF" w14:textId="77777777" w:rsidR="00290298" w:rsidRDefault="00FD2D52">
            <w:pPr>
              <w:overflowPunct/>
              <w:autoSpaceDE/>
              <w:textAlignment w:val="auto"/>
              <w:rPr>
                <w:rFonts w:cs="Calibri"/>
                <w:color w:val="000000"/>
                <w:sz w:val="20"/>
                <w:szCs w:val="22"/>
              </w:rPr>
            </w:pPr>
            <w:r>
              <w:rPr>
                <w:rFonts w:cs="Calibri"/>
                <w:color w:val="000000"/>
                <w:sz w:val="20"/>
                <w:szCs w:val="22"/>
              </w:rPr>
              <w:lastRenderedPageBreak/>
              <w:t>Doba pro poskytnutí informace o volných kapacitách</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450936"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c>
          <w:tcPr>
            <w:tcW w:w="326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7F33E9"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r>
      <w:tr w:rsidR="00290298" w14:paraId="36106881" w14:textId="77777777">
        <w:trPr>
          <w:trHeight w:val="369"/>
        </w:trPr>
        <w:tc>
          <w:tcPr>
            <w:tcW w:w="3260"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5DB9F75" w14:textId="77777777" w:rsidR="00290298" w:rsidRDefault="00FD2D52">
            <w:pPr>
              <w:overflowPunct/>
              <w:autoSpaceDE/>
              <w:textAlignment w:val="auto"/>
              <w:rPr>
                <w:rFonts w:cs="Calibri"/>
                <w:color w:val="000000"/>
                <w:sz w:val="20"/>
                <w:szCs w:val="22"/>
              </w:rPr>
            </w:pPr>
            <w:r>
              <w:rPr>
                <w:rFonts w:cs="Calibri"/>
                <w:color w:val="000000"/>
                <w:sz w:val="20"/>
                <w:szCs w:val="22"/>
              </w:rPr>
              <w:t>Kvalita služby</w:t>
            </w:r>
          </w:p>
        </w:tc>
        <w:tc>
          <w:tcPr>
            <w:tcW w:w="283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5810CFE"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w:t>
            </w:r>
          </w:p>
        </w:tc>
        <w:tc>
          <w:tcPr>
            <w:tcW w:w="3260"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2DC3CAB"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Povinný</w:t>
            </w:r>
          </w:p>
        </w:tc>
      </w:tr>
    </w:tbl>
    <w:p w14:paraId="2E85E46C" w14:textId="77777777" w:rsidR="00290298" w:rsidRDefault="00290298">
      <w:pPr>
        <w:pStyle w:val="Style1"/>
        <w:numPr>
          <w:ilvl w:val="0"/>
          <w:numId w:val="0"/>
        </w:numPr>
        <w:ind w:left="1068" w:hanging="360"/>
      </w:pPr>
    </w:p>
    <w:p w14:paraId="6198C89E" w14:textId="77777777" w:rsidR="00290298" w:rsidRDefault="00FD2D52">
      <w:pPr>
        <w:spacing w:after="76"/>
        <w:ind w:left="425" w:hanging="425"/>
      </w:pPr>
      <w:r>
        <w:rPr>
          <w:color w:val="000000"/>
          <w:sz w:val="24"/>
        </w:rPr>
        <w:t>5.1</w:t>
      </w:r>
      <w:r>
        <w:rPr>
          <w:color w:val="000000"/>
          <w:sz w:val="24"/>
        </w:rPr>
        <w:tab/>
      </w:r>
      <w:r>
        <w:rPr>
          <w:color w:val="000000"/>
          <w:sz w:val="24"/>
          <w:u w:val="single"/>
        </w:rPr>
        <w:t>Doba</w:t>
      </w:r>
      <w:r w:rsidR="00D8153F">
        <w:rPr>
          <w:color w:val="000000"/>
          <w:sz w:val="24"/>
          <w:u w:val="single"/>
        </w:rPr>
        <w:t xml:space="preserve"> zřízení služby </w:t>
      </w:r>
      <w:r w:rsidR="002D500D">
        <w:rPr>
          <w:color w:val="000000"/>
          <w:sz w:val="24"/>
          <w:u w:val="single"/>
        </w:rPr>
        <w:t>a zpřístupnění</w:t>
      </w:r>
      <w:r>
        <w:rPr>
          <w:color w:val="000000"/>
          <w:sz w:val="24"/>
          <w:u w:val="single"/>
        </w:rPr>
        <w:t xml:space="preserve"> infrastruktury</w:t>
      </w:r>
    </w:p>
    <w:p w14:paraId="3D5536E1" w14:textId="77777777" w:rsidR="00290298" w:rsidRDefault="00FD2D52">
      <w:pPr>
        <w:pStyle w:val="Style1"/>
        <w:numPr>
          <w:ilvl w:val="0"/>
          <w:numId w:val="23"/>
        </w:numPr>
        <w:ind w:left="425" w:hanging="425"/>
      </w:pPr>
      <w:r>
        <w:t>Příjemce dotace garantuje maximální dobu pro zřízení služby</w:t>
      </w:r>
      <w:r w:rsidR="002D500D">
        <w:t xml:space="preserve"> (vyjma služby roamingu)</w:t>
      </w:r>
      <w:r>
        <w:t xml:space="preserve"> nebo zpřístupnění infrastruktury pro všechny typy přístupu </w:t>
      </w:r>
      <w:r>
        <w:rPr>
          <w:b/>
        </w:rPr>
        <w:t>30 pracovních dní</w:t>
      </w:r>
      <w:r w:rsidR="00FE1CC1">
        <w:rPr>
          <w:b/>
        </w:rPr>
        <w:t xml:space="preserve"> </w:t>
      </w:r>
      <w:r w:rsidR="00FE1CC1" w:rsidRPr="00F12FD5">
        <w:t>od uzavření smlouvy</w:t>
      </w:r>
      <w:r>
        <w:t>.</w:t>
      </w:r>
      <w:r w:rsidR="002D500D">
        <w:t xml:space="preserve"> U služby roamingu Příjemce dotace garantuje maximální dobu pro zřízení této služby </w:t>
      </w:r>
      <w:r w:rsidR="00144AAC">
        <w:rPr>
          <w:b/>
        </w:rPr>
        <w:t>9 měsíců</w:t>
      </w:r>
      <w:r w:rsidR="00A73F1F">
        <w:rPr>
          <w:b/>
        </w:rPr>
        <w:t xml:space="preserve"> </w:t>
      </w:r>
      <w:r w:rsidR="00A73F1F" w:rsidRPr="00F12FD5">
        <w:t>od uzavření smlouvy o velko</w:t>
      </w:r>
      <w:r w:rsidR="0073324E" w:rsidRPr="00F12FD5">
        <w:t>obchodním</w:t>
      </w:r>
      <w:r w:rsidR="0073324E">
        <w:t xml:space="preserve"> přístupu v podobě služby roamingu</w:t>
      </w:r>
      <w:r w:rsidR="002D500D" w:rsidRPr="00F12FD5">
        <w:t>.</w:t>
      </w:r>
      <w:r w:rsidR="002D500D">
        <w:t xml:space="preserve"> </w:t>
      </w:r>
      <w:r>
        <w:rPr>
          <w:rFonts w:eastAsia="Calibri" w:cs="Calibri"/>
        </w:rPr>
        <w:t xml:space="preserve">Sankce </w:t>
      </w:r>
      <w:r>
        <w:t>za nedodržení maximální doby pro zřízení služby je odvozena z</w:t>
      </w:r>
      <w:r>
        <w:rPr>
          <w:rFonts w:eastAsia="Calibri" w:cs="Calibri"/>
        </w:rPr>
        <w:t xml:space="preserve"> </w:t>
      </w:r>
      <w:r>
        <w:t>ceny za zřízení anebo z</w:t>
      </w:r>
      <w:r>
        <w:rPr>
          <w:rFonts w:eastAsia="Calibri" w:cs="Calibri"/>
        </w:rPr>
        <w:t> </w:t>
      </w:r>
      <w:r>
        <w:t>měsíční ceny služby.</w:t>
      </w:r>
      <w:r>
        <w:rPr>
          <w:rFonts w:eastAsia="Calibri" w:cs="Calibri"/>
        </w:rPr>
        <w:t xml:space="preserve"> </w:t>
      </w:r>
    </w:p>
    <w:p w14:paraId="09273BA5" w14:textId="77777777" w:rsidR="00290298" w:rsidRDefault="00290298">
      <w:pPr>
        <w:pStyle w:val="Style1"/>
        <w:numPr>
          <w:ilvl w:val="0"/>
          <w:numId w:val="0"/>
        </w:numPr>
        <w:ind w:left="1068" w:hanging="360"/>
      </w:pPr>
    </w:p>
    <w:p w14:paraId="4127DD9E" w14:textId="77777777" w:rsidR="00290298" w:rsidRDefault="00FD2D52">
      <w:pPr>
        <w:spacing w:after="76"/>
        <w:ind w:left="425" w:hanging="425"/>
      </w:pPr>
      <w:r>
        <w:rPr>
          <w:color w:val="000000"/>
          <w:sz w:val="24"/>
        </w:rPr>
        <w:t>5.</w:t>
      </w:r>
      <w:proofErr w:type="gramStart"/>
      <w:r>
        <w:rPr>
          <w:color w:val="000000"/>
          <w:sz w:val="24"/>
        </w:rPr>
        <w:t>2</w:t>
      </w:r>
      <w:r>
        <w:rPr>
          <w:color w:val="000000"/>
          <w:sz w:val="24"/>
        </w:rPr>
        <w:tab/>
      </w:r>
      <w:r>
        <w:rPr>
          <w:color w:val="000000"/>
          <w:sz w:val="24"/>
          <w:u w:val="single"/>
        </w:rPr>
        <w:t>Měsíční</w:t>
      </w:r>
      <w:proofErr w:type="gramEnd"/>
      <w:r>
        <w:rPr>
          <w:color w:val="000000"/>
          <w:sz w:val="24"/>
          <w:u w:val="single"/>
        </w:rPr>
        <w:t xml:space="preserve"> dostupnost</w:t>
      </w:r>
    </w:p>
    <w:p w14:paraId="316DC47A" w14:textId="77777777" w:rsidR="00290298" w:rsidRDefault="00FD2D52">
      <w:pPr>
        <w:pStyle w:val="Style1"/>
        <w:numPr>
          <w:ilvl w:val="0"/>
          <w:numId w:val="23"/>
        </w:numPr>
        <w:ind w:left="425" w:hanging="425"/>
      </w:pPr>
      <w:r>
        <w:t>Měsíční dostupnost v</w:t>
      </w:r>
      <w:r>
        <w:rPr>
          <w:rFonts w:eastAsia="Calibri" w:cs="Calibri"/>
        </w:rPr>
        <w:t xml:space="preserve"> </w:t>
      </w:r>
      <w:r>
        <w:t>% se vypočítá následujícím způsobem:</w:t>
      </w:r>
      <w:r>
        <w:rPr>
          <w:rFonts w:eastAsia="Calibri" w:cs="Calibri"/>
        </w:rPr>
        <w:t xml:space="preserve"> </w:t>
      </w:r>
    </w:p>
    <w:p w14:paraId="5B173A23" w14:textId="77777777" w:rsidR="00290298" w:rsidRDefault="00FD2D52">
      <w:pPr>
        <w:pStyle w:val="Style1"/>
        <w:numPr>
          <w:ilvl w:val="0"/>
          <w:numId w:val="0"/>
        </w:numPr>
        <w:ind w:left="425" w:firstLine="1"/>
      </w:pPr>
      <w:r>
        <w:rPr>
          <w:noProof/>
        </w:rPr>
        <w:drawing>
          <wp:inline distT="0" distB="0" distL="0" distR="0" wp14:anchorId="2C0A1FB8" wp14:editId="1B6F9409">
            <wp:extent cx="5950393" cy="355290"/>
            <wp:effectExtent l="0" t="0" r="0" b="6660"/>
            <wp:docPr id="5" name="Picture 23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50393" cy="355290"/>
                    </a:xfrm>
                    <a:prstGeom prst="rect">
                      <a:avLst/>
                    </a:prstGeom>
                    <a:noFill/>
                    <a:ln>
                      <a:noFill/>
                      <a:prstDash/>
                    </a:ln>
                  </pic:spPr>
                </pic:pic>
              </a:graphicData>
            </a:graphic>
          </wp:inline>
        </w:drawing>
      </w:r>
    </w:p>
    <w:p w14:paraId="251E24F0" w14:textId="77777777" w:rsidR="00290298" w:rsidRDefault="00FD2D52">
      <w:pPr>
        <w:pStyle w:val="Style1"/>
        <w:numPr>
          <w:ilvl w:val="0"/>
          <w:numId w:val="23"/>
        </w:numPr>
        <w:ind w:left="425" w:hanging="425"/>
      </w:pPr>
      <w:r>
        <w:t xml:space="preserve">Do celkové dostupnosti služby za kalendářní měsíc se nezapočítává doba přerušení provozu služby z důvodu plánované údržby. </w:t>
      </w:r>
    </w:p>
    <w:p w14:paraId="107BC4F6" w14:textId="77777777" w:rsidR="00290298" w:rsidRDefault="00FD2D52">
      <w:pPr>
        <w:pStyle w:val="Style1"/>
        <w:numPr>
          <w:ilvl w:val="0"/>
          <w:numId w:val="23"/>
        </w:numPr>
        <w:ind w:left="425" w:hanging="425"/>
      </w:pPr>
      <w:r>
        <w:t>Příjemce dotace garantuje minimální měsíční dostupnost služby pro jednotlivé typy přístupu dle následující tabulky:</w:t>
      </w:r>
      <w:r>
        <w:rPr>
          <w:rFonts w:eastAsia="Calibri" w:cs="Calibri"/>
        </w:rPr>
        <w:t xml:space="preserve"> </w:t>
      </w:r>
    </w:p>
    <w:tbl>
      <w:tblPr>
        <w:tblW w:w="9355" w:type="dxa"/>
        <w:tblInd w:w="421" w:type="dxa"/>
        <w:tblCellMar>
          <w:left w:w="10" w:type="dxa"/>
          <w:right w:w="10" w:type="dxa"/>
        </w:tblCellMar>
        <w:tblLook w:val="0000" w:firstRow="0" w:lastRow="0" w:firstColumn="0" w:lastColumn="0" w:noHBand="0" w:noVBand="0"/>
      </w:tblPr>
      <w:tblGrid>
        <w:gridCol w:w="3187"/>
        <w:gridCol w:w="2908"/>
        <w:gridCol w:w="3260"/>
      </w:tblGrid>
      <w:tr w:rsidR="00290298" w14:paraId="261AE85B" w14:textId="77777777">
        <w:trPr>
          <w:trHeight w:val="369"/>
        </w:trPr>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FC690" w14:textId="77777777" w:rsidR="00290298" w:rsidRDefault="00FD2D52">
            <w:pPr>
              <w:overflowPunct/>
              <w:autoSpaceDE/>
              <w:textAlignment w:val="auto"/>
              <w:rPr>
                <w:rFonts w:cs="Calibri"/>
                <w:b/>
                <w:bCs/>
                <w:color w:val="000000"/>
                <w:sz w:val="20"/>
                <w:szCs w:val="22"/>
              </w:rPr>
            </w:pPr>
            <w:r>
              <w:rPr>
                <w:rFonts w:cs="Calibri"/>
                <w:b/>
                <w:bCs/>
                <w:color w:val="000000"/>
                <w:sz w:val="20"/>
                <w:szCs w:val="22"/>
              </w:rPr>
              <w:t>Parametr kvality</w:t>
            </w:r>
          </w:p>
        </w:tc>
        <w:tc>
          <w:tcPr>
            <w:tcW w:w="29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1812A" w14:textId="77777777" w:rsidR="00290298" w:rsidRDefault="00FD2D52">
            <w:pPr>
              <w:overflowPunct/>
              <w:autoSpaceDE/>
              <w:jc w:val="center"/>
              <w:textAlignment w:val="auto"/>
              <w:rPr>
                <w:rFonts w:cs="Calibri"/>
                <w:b/>
                <w:bCs/>
                <w:color w:val="000000"/>
                <w:sz w:val="20"/>
                <w:szCs w:val="22"/>
              </w:rPr>
            </w:pPr>
            <w:r>
              <w:rPr>
                <w:rFonts w:cs="Calibri"/>
                <w:b/>
                <w:bCs/>
                <w:color w:val="000000"/>
                <w:sz w:val="20"/>
                <w:szCs w:val="22"/>
              </w:rPr>
              <w:t>Služby pasivního přístupu</w:t>
            </w: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51608" w14:textId="77777777" w:rsidR="00290298" w:rsidRDefault="00FD2D52">
            <w:pPr>
              <w:overflowPunct/>
              <w:autoSpaceDE/>
              <w:jc w:val="center"/>
              <w:textAlignment w:val="auto"/>
              <w:rPr>
                <w:rFonts w:cs="Calibri"/>
                <w:b/>
                <w:bCs/>
                <w:color w:val="000000"/>
                <w:sz w:val="20"/>
                <w:szCs w:val="22"/>
              </w:rPr>
            </w:pPr>
            <w:r>
              <w:rPr>
                <w:rFonts w:cs="Calibri"/>
                <w:b/>
                <w:bCs/>
                <w:color w:val="000000"/>
                <w:sz w:val="20"/>
                <w:szCs w:val="22"/>
              </w:rPr>
              <w:t>Služby aktivního přístupu</w:t>
            </w:r>
          </w:p>
        </w:tc>
      </w:tr>
      <w:tr w:rsidR="00290298" w14:paraId="5A4E098D" w14:textId="77777777">
        <w:trPr>
          <w:trHeight w:val="369"/>
        </w:trPr>
        <w:tc>
          <w:tcPr>
            <w:tcW w:w="3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50AE6B" w14:textId="77777777" w:rsidR="00290298" w:rsidRDefault="00FD2D52">
            <w:pPr>
              <w:overflowPunct/>
              <w:autoSpaceDE/>
              <w:textAlignment w:val="auto"/>
              <w:rPr>
                <w:rFonts w:cs="Calibri"/>
                <w:color w:val="000000"/>
                <w:sz w:val="20"/>
                <w:szCs w:val="22"/>
              </w:rPr>
            </w:pPr>
            <w:r>
              <w:rPr>
                <w:rFonts w:cs="Calibri"/>
                <w:color w:val="000000"/>
                <w:sz w:val="20"/>
                <w:szCs w:val="22"/>
              </w:rPr>
              <w:t>Měsíční dostupnost</w:t>
            </w:r>
          </w:p>
        </w:tc>
        <w:tc>
          <w:tcPr>
            <w:tcW w:w="2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402406" w14:textId="77777777" w:rsidR="00290298" w:rsidRDefault="00FD2D52">
            <w:pPr>
              <w:overflowPunct/>
              <w:autoSpaceDE/>
              <w:jc w:val="center"/>
              <w:textAlignment w:val="auto"/>
              <w:rPr>
                <w:rFonts w:cs="Calibri"/>
                <w:color w:val="000000"/>
                <w:sz w:val="20"/>
              </w:rPr>
            </w:pPr>
            <w:proofErr w:type="gramStart"/>
            <w:r>
              <w:rPr>
                <w:rFonts w:cs="Calibri"/>
                <w:color w:val="000000"/>
                <w:sz w:val="20"/>
              </w:rPr>
              <w:t>98,50%</w:t>
            </w:r>
            <w:proofErr w:type="gramEnd"/>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B2DC6A" w14:textId="77777777" w:rsidR="00290298" w:rsidRDefault="00FD2D52">
            <w:pPr>
              <w:overflowPunct/>
              <w:autoSpaceDE/>
              <w:ind w:left="639"/>
              <w:textAlignment w:val="auto"/>
              <w:rPr>
                <w:rFonts w:cs="Calibri"/>
                <w:color w:val="000000"/>
                <w:sz w:val="20"/>
              </w:rPr>
            </w:pPr>
            <w:r>
              <w:rPr>
                <w:rFonts w:cs="Calibri"/>
                <w:color w:val="000000"/>
                <w:sz w:val="20"/>
              </w:rPr>
              <w:t>Nezálohované - 99,5 %</w:t>
            </w:r>
          </w:p>
          <w:p w14:paraId="5ABE8701" w14:textId="77777777" w:rsidR="00290298" w:rsidRDefault="00FD2D52">
            <w:pPr>
              <w:overflowPunct/>
              <w:autoSpaceDE/>
              <w:jc w:val="center"/>
              <w:textAlignment w:val="auto"/>
              <w:rPr>
                <w:rFonts w:cs="Calibri"/>
                <w:color w:val="000000"/>
                <w:sz w:val="20"/>
              </w:rPr>
            </w:pPr>
            <w:r>
              <w:rPr>
                <w:rFonts w:cs="Calibri"/>
                <w:color w:val="000000"/>
                <w:sz w:val="20"/>
              </w:rPr>
              <w:t>Zálohované – 99,9 %</w:t>
            </w:r>
          </w:p>
        </w:tc>
      </w:tr>
    </w:tbl>
    <w:p w14:paraId="7ED15E67" w14:textId="77777777" w:rsidR="00F63439" w:rsidRDefault="00F63439">
      <w:pPr>
        <w:pStyle w:val="Style1"/>
        <w:numPr>
          <w:ilvl w:val="0"/>
          <w:numId w:val="0"/>
        </w:numPr>
        <w:ind w:left="1068" w:hanging="360"/>
      </w:pPr>
    </w:p>
    <w:p w14:paraId="411FA31C" w14:textId="77777777" w:rsidR="00F63439" w:rsidRDefault="00F63439">
      <w:pPr>
        <w:suppressAutoHyphens w:val="0"/>
        <w:overflowPunct/>
        <w:autoSpaceDE/>
        <w:rPr>
          <w:rFonts w:eastAsia="Yu Mincho" w:cs="Arial"/>
          <w:szCs w:val="22"/>
        </w:rPr>
      </w:pPr>
      <w:r>
        <w:br w:type="page"/>
      </w:r>
    </w:p>
    <w:p w14:paraId="75C12F3A" w14:textId="77777777" w:rsidR="00290298" w:rsidRDefault="00FD2D52">
      <w:pPr>
        <w:spacing w:after="76"/>
        <w:ind w:left="425" w:hanging="425"/>
      </w:pPr>
      <w:r>
        <w:rPr>
          <w:color w:val="000000"/>
          <w:sz w:val="24"/>
        </w:rPr>
        <w:lastRenderedPageBreak/>
        <w:t>5.3</w:t>
      </w:r>
      <w:r>
        <w:rPr>
          <w:color w:val="000000"/>
          <w:sz w:val="24"/>
        </w:rPr>
        <w:tab/>
      </w:r>
      <w:r>
        <w:rPr>
          <w:color w:val="000000"/>
          <w:sz w:val="24"/>
          <w:u w:val="single"/>
        </w:rPr>
        <w:t>Doba opravy služby</w:t>
      </w:r>
      <w:r>
        <w:rPr>
          <w:color w:val="000000"/>
          <w:sz w:val="24"/>
        </w:rPr>
        <w:t xml:space="preserve"> </w:t>
      </w:r>
    </w:p>
    <w:p w14:paraId="0F3DBDE8" w14:textId="77777777" w:rsidR="00290298" w:rsidRDefault="00FD2D52">
      <w:pPr>
        <w:pStyle w:val="Style1"/>
        <w:numPr>
          <w:ilvl w:val="0"/>
          <w:numId w:val="23"/>
        </w:numPr>
        <w:ind w:left="425" w:hanging="425"/>
      </w:pPr>
      <w:r>
        <w:t xml:space="preserve">Příjemce dotace garantuje maximální dobu opravy pro jednotlivé typy přístupu, tak jak je uvedena </w:t>
      </w:r>
      <w:r>
        <w:rPr>
          <w:rFonts w:eastAsia="Calibri" w:cs="Calibri"/>
        </w:rPr>
        <w:t xml:space="preserve">v </w:t>
      </w:r>
      <w:r>
        <w:t>následující tabulce:</w:t>
      </w:r>
    </w:p>
    <w:tbl>
      <w:tblPr>
        <w:tblW w:w="9355" w:type="dxa"/>
        <w:tblInd w:w="421" w:type="dxa"/>
        <w:tblCellMar>
          <w:left w:w="10" w:type="dxa"/>
          <w:right w:w="10" w:type="dxa"/>
        </w:tblCellMar>
        <w:tblLook w:val="0000" w:firstRow="0" w:lastRow="0" w:firstColumn="0" w:lastColumn="0" w:noHBand="0" w:noVBand="0"/>
      </w:tblPr>
      <w:tblGrid>
        <w:gridCol w:w="3118"/>
        <w:gridCol w:w="2977"/>
        <w:gridCol w:w="3260"/>
      </w:tblGrid>
      <w:tr w:rsidR="00290298" w14:paraId="7AAAD3E2" w14:textId="77777777">
        <w:trPr>
          <w:trHeight w:val="369"/>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B2E3E" w14:textId="77777777" w:rsidR="00290298" w:rsidRDefault="00FD2D52">
            <w:pPr>
              <w:overflowPunct/>
              <w:autoSpaceDE/>
              <w:textAlignment w:val="auto"/>
              <w:rPr>
                <w:rFonts w:cs="Calibri"/>
                <w:b/>
                <w:bCs/>
                <w:color w:val="000000"/>
                <w:sz w:val="20"/>
                <w:szCs w:val="22"/>
              </w:rPr>
            </w:pPr>
            <w:r>
              <w:rPr>
                <w:rFonts w:cs="Calibri"/>
                <w:b/>
                <w:bCs/>
                <w:color w:val="000000"/>
                <w:sz w:val="20"/>
                <w:szCs w:val="22"/>
              </w:rPr>
              <w:t>Parametr kvality</w:t>
            </w:r>
          </w:p>
        </w:tc>
        <w:tc>
          <w:tcPr>
            <w:tcW w:w="29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9ECDF" w14:textId="77777777" w:rsidR="00290298" w:rsidRDefault="00FD2D52">
            <w:pPr>
              <w:overflowPunct/>
              <w:autoSpaceDE/>
              <w:jc w:val="center"/>
              <w:textAlignment w:val="auto"/>
              <w:rPr>
                <w:rFonts w:cs="Calibri"/>
                <w:b/>
                <w:bCs/>
                <w:color w:val="000000"/>
                <w:sz w:val="20"/>
                <w:szCs w:val="22"/>
              </w:rPr>
            </w:pPr>
            <w:r>
              <w:rPr>
                <w:rFonts w:cs="Calibri"/>
                <w:b/>
                <w:bCs/>
                <w:color w:val="000000"/>
                <w:sz w:val="20"/>
                <w:szCs w:val="22"/>
              </w:rPr>
              <w:t>Služby pasivního přístupu</w:t>
            </w: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A0F384" w14:textId="77777777" w:rsidR="00290298" w:rsidRDefault="00FD2D52">
            <w:pPr>
              <w:overflowPunct/>
              <w:autoSpaceDE/>
              <w:jc w:val="center"/>
              <w:textAlignment w:val="auto"/>
              <w:rPr>
                <w:rFonts w:cs="Calibri"/>
                <w:b/>
                <w:bCs/>
                <w:color w:val="000000"/>
                <w:sz w:val="20"/>
                <w:szCs w:val="22"/>
              </w:rPr>
            </w:pPr>
            <w:r>
              <w:rPr>
                <w:rFonts w:cs="Calibri"/>
                <w:b/>
                <w:bCs/>
                <w:color w:val="000000"/>
                <w:sz w:val="20"/>
                <w:szCs w:val="22"/>
              </w:rPr>
              <w:t>Služby aktivního přístupu</w:t>
            </w:r>
          </w:p>
        </w:tc>
      </w:tr>
      <w:tr w:rsidR="00290298" w14:paraId="4561BB5F" w14:textId="77777777">
        <w:trPr>
          <w:trHeight w:val="369"/>
        </w:trPr>
        <w:tc>
          <w:tcPr>
            <w:tcW w:w="311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8F8981" w14:textId="77777777" w:rsidR="00290298" w:rsidRDefault="00FD2D52">
            <w:pPr>
              <w:overflowPunct/>
              <w:autoSpaceDE/>
              <w:textAlignment w:val="auto"/>
              <w:rPr>
                <w:rFonts w:cs="Calibri"/>
                <w:color w:val="000000"/>
                <w:sz w:val="20"/>
                <w:szCs w:val="22"/>
              </w:rPr>
            </w:pPr>
            <w:r>
              <w:rPr>
                <w:rFonts w:cs="Calibri"/>
                <w:color w:val="000000"/>
                <w:sz w:val="20"/>
                <w:szCs w:val="22"/>
              </w:rPr>
              <w:t xml:space="preserve">Doba opravy </w:t>
            </w:r>
          </w:p>
        </w:tc>
        <w:tc>
          <w:tcPr>
            <w:tcW w:w="29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9ACBD7"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24 hodin pro 80 % případů (jak s nutností, tak bez nutnosti výjezdu technika)</w:t>
            </w:r>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8AD6DE"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4 hodiny pro 80 % případů (bez nutnosti výjezdu technika)</w:t>
            </w:r>
          </w:p>
        </w:tc>
      </w:tr>
      <w:tr w:rsidR="00290298" w14:paraId="395BC2A7" w14:textId="77777777">
        <w:trPr>
          <w:trHeight w:val="369"/>
        </w:trPr>
        <w:tc>
          <w:tcPr>
            <w:tcW w:w="31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5DF23E" w14:textId="77777777" w:rsidR="00290298" w:rsidRDefault="00FD2D52">
            <w:pPr>
              <w:overflowPunct/>
              <w:autoSpaceDE/>
              <w:textAlignment w:val="auto"/>
              <w:rPr>
                <w:rFonts w:cs="Calibri"/>
                <w:color w:val="000000"/>
                <w:sz w:val="20"/>
                <w:szCs w:val="22"/>
              </w:rPr>
            </w:pPr>
            <w:r>
              <w:rPr>
                <w:rFonts w:cs="Calibri"/>
                <w:color w:val="000000"/>
                <w:sz w:val="20"/>
                <w:szCs w:val="22"/>
              </w:rPr>
              <w:t xml:space="preserve">Doba opravy </w:t>
            </w:r>
          </w:p>
        </w:tc>
        <w:tc>
          <w:tcPr>
            <w:tcW w:w="297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232059"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48 hodin pro 95 % případů (jak s nutností, tak bez nutnosti výjezdu technika)</w:t>
            </w:r>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9CB86C"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12 hodin pro 90 % případů (bez nutnosti výjezdu technika)</w:t>
            </w:r>
          </w:p>
        </w:tc>
      </w:tr>
      <w:tr w:rsidR="00290298" w14:paraId="5CB02465" w14:textId="77777777">
        <w:trPr>
          <w:trHeight w:val="369"/>
        </w:trPr>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0475C15" w14:textId="77777777" w:rsidR="00290298" w:rsidRDefault="00FD2D52">
            <w:pPr>
              <w:overflowPunct/>
              <w:autoSpaceDE/>
              <w:textAlignment w:val="auto"/>
              <w:rPr>
                <w:rFonts w:cs="Calibri"/>
                <w:color w:val="000000"/>
                <w:sz w:val="20"/>
                <w:szCs w:val="22"/>
              </w:rPr>
            </w:pPr>
            <w:r>
              <w:rPr>
                <w:rFonts w:cs="Calibri"/>
                <w:color w:val="000000"/>
                <w:sz w:val="20"/>
                <w:szCs w:val="22"/>
              </w:rPr>
              <w:t xml:space="preserve">Doba opravy </w:t>
            </w:r>
          </w:p>
        </w:tc>
        <w:tc>
          <w:tcPr>
            <w:tcW w:w="2977"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CA45C2F"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w:t>
            </w:r>
          </w:p>
        </w:tc>
        <w:tc>
          <w:tcPr>
            <w:tcW w:w="326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7146A5" w14:textId="77777777" w:rsidR="00290298" w:rsidRDefault="00FD2D52">
            <w:pPr>
              <w:overflowPunct/>
              <w:autoSpaceDE/>
              <w:jc w:val="center"/>
              <w:textAlignment w:val="auto"/>
              <w:rPr>
                <w:rFonts w:cs="Calibri"/>
                <w:color w:val="000000"/>
                <w:sz w:val="20"/>
                <w:szCs w:val="22"/>
              </w:rPr>
            </w:pPr>
            <w:r>
              <w:rPr>
                <w:rFonts w:cs="Calibri"/>
                <w:color w:val="000000"/>
                <w:sz w:val="20"/>
                <w:szCs w:val="22"/>
              </w:rPr>
              <w:t>24 hodin pro 70 % případů (s nutností výjezdu technika)</w:t>
            </w:r>
          </w:p>
        </w:tc>
      </w:tr>
    </w:tbl>
    <w:p w14:paraId="6C712B94" w14:textId="77777777" w:rsidR="00290298" w:rsidRDefault="00290298">
      <w:pPr>
        <w:spacing w:after="66"/>
        <w:ind w:left="12" w:right="883"/>
        <w:rPr>
          <w:rFonts w:eastAsia="Calibri" w:cs="Calibri"/>
        </w:rPr>
      </w:pPr>
    </w:p>
    <w:p w14:paraId="4CA1B464" w14:textId="77777777" w:rsidR="00290298" w:rsidRDefault="00FD2D52">
      <w:pPr>
        <w:pStyle w:val="Style1"/>
        <w:numPr>
          <w:ilvl w:val="0"/>
          <w:numId w:val="23"/>
        </w:numPr>
        <w:ind w:left="425" w:hanging="425"/>
      </w:pPr>
      <w:r>
        <w:t>Sankce</w:t>
      </w:r>
      <w:r w:rsidRPr="00F12FD5">
        <w:t xml:space="preserve"> za </w:t>
      </w:r>
      <w:r>
        <w:t>nedodržení</w:t>
      </w:r>
      <w:r w:rsidRPr="00F12FD5">
        <w:t xml:space="preserve"> maximální doby opravy služby je odvozena z měsíční ceny služby. </w:t>
      </w:r>
    </w:p>
    <w:p w14:paraId="72924242" w14:textId="77777777" w:rsidR="00290298" w:rsidRDefault="00290298">
      <w:pPr>
        <w:pStyle w:val="Style1"/>
        <w:numPr>
          <w:ilvl w:val="0"/>
          <w:numId w:val="0"/>
        </w:numPr>
        <w:ind w:left="1068" w:hanging="360"/>
      </w:pPr>
    </w:p>
    <w:p w14:paraId="7004C753" w14:textId="77777777" w:rsidR="00290298" w:rsidRDefault="00FD2D52">
      <w:pPr>
        <w:spacing w:after="76"/>
        <w:ind w:left="425" w:hanging="425"/>
      </w:pPr>
      <w:r>
        <w:rPr>
          <w:color w:val="000000"/>
          <w:sz w:val="24"/>
        </w:rPr>
        <w:t>5.4</w:t>
      </w:r>
      <w:r>
        <w:rPr>
          <w:color w:val="000000"/>
          <w:sz w:val="24"/>
        </w:rPr>
        <w:tab/>
      </w:r>
      <w:r>
        <w:rPr>
          <w:color w:val="000000"/>
          <w:sz w:val="24"/>
          <w:u w:val="single"/>
        </w:rPr>
        <w:t>Doba pro poskytnutí informace o volných kapacitách</w:t>
      </w:r>
    </w:p>
    <w:p w14:paraId="025FA3FB" w14:textId="77777777" w:rsidR="00290298" w:rsidRDefault="00FD2D52">
      <w:pPr>
        <w:pStyle w:val="Style1"/>
        <w:numPr>
          <w:ilvl w:val="0"/>
          <w:numId w:val="23"/>
        </w:numPr>
        <w:ind w:left="425" w:hanging="425"/>
      </w:pPr>
      <w:r>
        <w:t>Příjemce dotace garantuje maximální dobu pro poskytnutí informace o</w:t>
      </w:r>
      <w:r>
        <w:rPr>
          <w:rFonts w:eastAsia="Calibri" w:cs="Calibri"/>
        </w:rPr>
        <w:t xml:space="preserve"> </w:t>
      </w:r>
      <w:r>
        <w:t>volných kapacitách v</w:t>
      </w:r>
      <w:r>
        <w:rPr>
          <w:rFonts w:eastAsia="Calibri" w:cs="Calibri"/>
        </w:rPr>
        <w:t xml:space="preserve"> </w:t>
      </w:r>
      <w:r>
        <w:t xml:space="preserve">případě pasivní infrastruktury ve lhůtách uvedených v těchto Pokynech. </w:t>
      </w:r>
    </w:p>
    <w:p w14:paraId="2A228C28" w14:textId="77777777" w:rsidR="00290298" w:rsidRDefault="00FD2D52">
      <w:pPr>
        <w:pStyle w:val="Style1"/>
        <w:numPr>
          <w:ilvl w:val="0"/>
          <w:numId w:val="0"/>
        </w:numPr>
        <w:ind w:left="425" w:firstLine="1"/>
      </w:pPr>
      <w:r>
        <w:t>Sankce za nedodržení maximální doby pro poskytnutí informace o</w:t>
      </w:r>
      <w:r>
        <w:rPr>
          <w:rFonts w:eastAsia="Calibri" w:cs="Calibri"/>
        </w:rPr>
        <w:t xml:space="preserve"> </w:t>
      </w:r>
      <w:r>
        <w:t>volných kapacitách je odvozena z</w:t>
      </w:r>
      <w:r>
        <w:rPr>
          <w:rFonts w:eastAsia="Calibri" w:cs="Calibri"/>
        </w:rPr>
        <w:t xml:space="preserve"> </w:t>
      </w:r>
      <w:r>
        <w:t>měsíční ceny služby.</w:t>
      </w:r>
      <w:r>
        <w:rPr>
          <w:rFonts w:eastAsia="Calibri" w:cs="Calibri"/>
        </w:rPr>
        <w:t xml:space="preserve"> </w:t>
      </w:r>
    </w:p>
    <w:p w14:paraId="0A67A850" w14:textId="77777777" w:rsidR="00290298" w:rsidRDefault="00290298">
      <w:pPr>
        <w:pStyle w:val="Style1"/>
        <w:numPr>
          <w:ilvl w:val="0"/>
          <w:numId w:val="0"/>
        </w:numPr>
        <w:ind w:left="1068" w:hanging="360"/>
      </w:pPr>
    </w:p>
    <w:p w14:paraId="45B0BE02" w14:textId="77777777" w:rsidR="00562F1C" w:rsidRDefault="00FD2D52" w:rsidP="00562F1C">
      <w:pPr>
        <w:spacing w:after="76"/>
        <w:ind w:left="425" w:hanging="425"/>
        <w:rPr>
          <w:color w:val="000000"/>
          <w:sz w:val="24"/>
          <w:u w:val="single"/>
        </w:rPr>
      </w:pPr>
      <w:r>
        <w:rPr>
          <w:color w:val="000000"/>
          <w:sz w:val="24"/>
        </w:rPr>
        <w:t>5.5</w:t>
      </w:r>
      <w:r>
        <w:rPr>
          <w:color w:val="000000"/>
          <w:sz w:val="24"/>
        </w:rPr>
        <w:tab/>
      </w:r>
      <w:r>
        <w:rPr>
          <w:color w:val="000000"/>
          <w:sz w:val="24"/>
          <w:u w:val="single"/>
        </w:rPr>
        <w:t>Kvalita služ</w:t>
      </w:r>
      <w:r w:rsidR="00562F1C">
        <w:rPr>
          <w:color w:val="000000"/>
          <w:sz w:val="24"/>
          <w:u w:val="single"/>
        </w:rPr>
        <w:t>eb</w:t>
      </w:r>
      <w:r>
        <w:rPr>
          <w:color w:val="000000"/>
          <w:sz w:val="24"/>
          <w:u w:val="single"/>
        </w:rPr>
        <w:t xml:space="preserve"> </w:t>
      </w:r>
      <w:r w:rsidR="00F227BA">
        <w:rPr>
          <w:color w:val="000000"/>
          <w:sz w:val="24"/>
          <w:u w:val="single"/>
        </w:rPr>
        <w:t>a</w:t>
      </w:r>
      <w:r>
        <w:rPr>
          <w:color w:val="000000"/>
          <w:sz w:val="24"/>
          <w:u w:val="single"/>
        </w:rPr>
        <w:t>ktivního přístupu</w:t>
      </w:r>
    </w:p>
    <w:p w14:paraId="28762E5E" w14:textId="77777777" w:rsidR="00562F1C" w:rsidRDefault="00562F1C" w:rsidP="00D6270D">
      <w:pPr>
        <w:spacing w:after="76"/>
        <w:ind w:left="425" w:hanging="425"/>
        <w:rPr>
          <w:color w:val="000000"/>
          <w:sz w:val="24"/>
          <w:u w:val="single"/>
        </w:rPr>
      </w:pPr>
    </w:p>
    <w:p w14:paraId="58DD853E" w14:textId="77777777" w:rsidR="00562F1C" w:rsidRPr="00F12FD5" w:rsidRDefault="00562F1C" w:rsidP="00F12FD5">
      <w:pPr>
        <w:spacing w:after="76"/>
        <w:rPr>
          <w:color w:val="000000"/>
          <w:sz w:val="24"/>
          <w:u w:val="single"/>
        </w:rPr>
      </w:pPr>
      <w:r>
        <w:rPr>
          <w:color w:val="000000"/>
          <w:sz w:val="24"/>
        </w:rPr>
        <w:t xml:space="preserve">5.5.1 </w:t>
      </w:r>
      <w:r>
        <w:rPr>
          <w:color w:val="000000"/>
          <w:sz w:val="24"/>
          <w:u w:val="single"/>
        </w:rPr>
        <w:t>S</w:t>
      </w:r>
      <w:r w:rsidR="00F227BA" w:rsidRPr="00F12FD5">
        <w:rPr>
          <w:color w:val="000000"/>
          <w:sz w:val="24"/>
          <w:u w:val="single"/>
        </w:rPr>
        <w:t>lužby datového okruhu nebo jiný přístup k nasvícenému vláknu</w:t>
      </w:r>
    </w:p>
    <w:p w14:paraId="454D8519" w14:textId="77777777" w:rsidR="00290298" w:rsidRPr="00F12FD5" w:rsidRDefault="00FD2D52">
      <w:pPr>
        <w:pStyle w:val="Style1"/>
        <w:numPr>
          <w:ilvl w:val="0"/>
          <w:numId w:val="23"/>
        </w:numPr>
        <w:ind w:left="425" w:hanging="425"/>
      </w:pPr>
      <w:r>
        <w:t>Příjemce dotace stanoví a</w:t>
      </w:r>
      <w:r>
        <w:rPr>
          <w:rFonts w:eastAsia="Calibri" w:cs="Calibri"/>
        </w:rPr>
        <w:t xml:space="preserve"> </w:t>
      </w:r>
      <w:r>
        <w:t>garantuje hraniční hodnoty chybovosti (ztrátovost) a</w:t>
      </w:r>
      <w:r>
        <w:rPr>
          <w:rFonts w:eastAsia="Calibri" w:cs="Calibri"/>
        </w:rPr>
        <w:t xml:space="preserve"> </w:t>
      </w:r>
      <w:r>
        <w:t>zpoždění paketů / rámců v</w:t>
      </w:r>
      <w:r>
        <w:rPr>
          <w:rFonts w:eastAsia="Calibri" w:cs="Calibri"/>
        </w:rPr>
        <w:t xml:space="preserve"> souladu s </w:t>
      </w:r>
      <w:r>
        <w:t>dokumentem ČTÚ Metodika pro měření a</w:t>
      </w:r>
      <w:r>
        <w:rPr>
          <w:rFonts w:eastAsia="Calibri" w:cs="Calibri"/>
        </w:rPr>
        <w:t xml:space="preserve"> </w:t>
      </w:r>
      <w:r>
        <w:t xml:space="preserve">vyhodnocení datových parametrů pevných komunikačních sítí </w:t>
      </w:r>
      <w:r>
        <w:rPr>
          <w:rFonts w:eastAsia="Calibri" w:cs="Calibri"/>
          <w:vertAlign w:val="superscript"/>
        </w:rPr>
        <w:footnoteReference w:id="3"/>
      </w:r>
      <w:r>
        <w:rPr>
          <w:rFonts w:eastAsia="Calibri" w:cs="Calibri"/>
        </w:rPr>
        <w:t>.</w:t>
      </w:r>
    </w:p>
    <w:p w14:paraId="49F7E74C" w14:textId="77777777" w:rsidR="00562F1C" w:rsidRDefault="00562F1C" w:rsidP="00F12FD5">
      <w:pPr>
        <w:spacing w:after="76"/>
      </w:pPr>
    </w:p>
    <w:p w14:paraId="467138EF" w14:textId="77777777" w:rsidR="00290298" w:rsidRDefault="00290298">
      <w:pPr>
        <w:pStyle w:val="Style1"/>
        <w:numPr>
          <w:ilvl w:val="0"/>
          <w:numId w:val="0"/>
        </w:numPr>
        <w:ind w:left="1068" w:hanging="360"/>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60DA361C" w14:textId="77777777">
        <w:tc>
          <w:tcPr>
            <w:tcW w:w="9775" w:type="dxa"/>
            <w:shd w:val="clear" w:color="auto" w:fill="auto"/>
            <w:tcMar>
              <w:top w:w="0" w:type="dxa"/>
              <w:left w:w="108" w:type="dxa"/>
              <w:bottom w:w="0" w:type="dxa"/>
              <w:right w:w="108" w:type="dxa"/>
            </w:tcMar>
          </w:tcPr>
          <w:p w14:paraId="00A1F900" w14:textId="77777777" w:rsidR="00290298" w:rsidRDefault="00FD2D52">
            <w:pPr>
              <w:shd w:val="clear" w:color="auto" w:fill="D9E2F3"/>
              <w:spacing w:before="120" w:after="120" w:line="276" w:lineRule="auto"/>
              <w:ind w:left="482" w:hanging="425"/>
            </w:pPr>
            <w:r>
              <w:rPr>
                <w:rFonts w:eastAsia="Calibri" w:cs="Calibri"/>
                <w:b/>
                <w:sz w:val="24"/>
              </w:rPr>
              <w:t xml:space="preserve">6. </w:t>
            </w:r>
            <w:r>
              <w:rPr>
                <w:rFonts w:eastAsia="Calibri" w:cs="Calibri"/>
                <w:b/>
                <w:sz w:val="24"/>
              </w:rPr>
              <w:tab/>
              <w:t xml:space="preserve">Maximální velkoobchodní ceny </w:t>
            </w:r>
          </w:p>
        </w:tc>
      </w:tr>
    </w:tbl>
    <w:p w14:paraId="2E5ACA75" w14:textId="77777777" w:rsidR="00290298" w:rsidRDefault="00FD2D52">
      <w:pPr>
        <w:pStyle w:val="Style1"/>
        <w:numPr>
          <w:ilvl w:val="0"/>
          <w:numId w:val="23"/>
        </w:numPr>
        <w:ind w:left="425" w:hanging="425"/>
      </w:pPr>
      <w:r>
        <w:t xml:space="preserve">Velkoobchodní ceny poskytovaných služeb v rámci velkoobchodní nabídky </w:t>
      </w:r>
      <w:r w:rsidR="00A0358B">
        <w:t>P</w:t>
      </w:r>
      <w:r>
        <w:t>říjemce dotace stanoví podle dále stanovených podmínek dle jednotlivých typů nabízeného přístupu (pasivní nebo aktivní) a jejich variant takto:</w:t>
      </w:r>
    </w:p>
    <w:p w14:paraId="6C15BA3A" w14:textId="77777777" w:rsidR="00290298" w:rsidRDefault="00290298">
      <w:pPr>
        <w:spacing w:after="76"/>
        <w:ind w:left="425" w:hanging="425"/>
        <w:rPr>
          <w:color w:val="000000"/>
          <w:sz w:val="24"/>
          <w:szCs w:val="24"/>
        </w:rPr>
      </w:pPr>
    </w:p>
    <w:tbl>
      <w:tblPr>
        <w:tblW w:w="9213" w:type="dxa"/>
        <w:tblInd w:w="421" w:type="dxa"/>
        <w:tblCellMar>
          <w:left w:w="10" w:type="dxa"/>
          <w:right w:w="10" w:type="dxa"/>
        </w:tblCellMar>
        <w:tblLook w:val="0000" w:firstRow="0" w:lastRow="0" w:firstColumn="0" w:lastColumn="0" w:noHBand="0" w:noVBand="0"/>
      </w:tblPr>
      <w:tblGrid>
        <w:gridCol w:w="2693"/>
        <w:gridCol w:w="3260"/>
        <w:gridCol w:w="3260"/>
      </w:tblGrid>
      <w:tr w:rsidR="00A0358B" w14:paraId="068DD99F" w14:textId="77777777" w:rsidTr="00330943">
        <w:trPr>
          <w:trHeight w:val="518"/>
        </w:trPr>
        <w:tc>
          <w:tcPr>
            <w:tcW w:w="2693" w:type="dxa"/>
            <w:tcBorders>
              <w:top w:val="single" w:sz="4" w:space="0" w:color="000000"/>
              <w:left w:val="single" w:sz="4" w:space="0" w:color="000000"/>
              <w:right w:val="single" w:sz="4" w:space="0" w:color="000000"/>
            </w:tcBorders>
            <w:shd w:val="clear" w:color="auto" w:fill="auto"/>
            <w:tcMar>
              <w:top w:w="106" w:type="dxa"/>
              <w:left w:w="106" w:type="dxa"/>
              <w:bottom w:w="0" w:type="dxa"/>
              <w:right w:w="58" w:type="dxa"/>
            </w:tcMar>
            <w:vAlign w:val="center"/>
          </w:tcPr>
          <w:p w14:paraId="1896271A" w14:textId="77777777" w:rsidR="00A0358B" w:rsidRDefault="00A0358B" w:rsidP="00330943">
            <w:pPr>
              <w:tabs>
                <w:tab w:val="right" w:pos="2532"/>
              </w:tabs>
              <w:jc w:val="center"/>
              <w:rPr>
                <w:rFonts w:eastAsia="Yu Mincho" w:cs="Arial"/>
                <w:b/>
                <w:sz w:val="20"/>
              </w:rPr>
            </w:pPr>
            <w:r>
              <w:rPr>
                <w:rFonts w:eastAsia="Yu Mincho" w:cs="Arial"/>
                <w:b/>
                <w:sz w:val="20"/>
              </w:rPr>
              <w:t>Infrastruktura</w:t>
            </w:r>
          </w:p>
        </w:tc>
        <w:tc>
          <w:tcPr>
            <w:tcW w:w="3260" w:type="dxa"/>
            <w:tcBorders>
              <w:top w:val="single" w:sz="4" w:space="0" w:color="000000"/>
              <w:left w:val="single" w:sz="4" w:space="0" w:color="000000"/>
              <w:right w:val="single" w:sz="4" w:space="0" w:color="000000"/>
            </w:tcBorders>
            <w:shd w:val="clear" w:color="auto" w:fill="auto"/>
            <w:tcMar>
              <w:top w:w="106" w:type="dxa"/>
              <w:left w:w="106" w:type="dxa"/>
              <w:bottom w:w="0" w:type="dxa"/>
              <w:right w:w="58" w:type="dxa"/>
            </w:tcMar>
            <w:vAlign w:val="center"/>
          </w:tcPr>
          <w:p w14:paraId="5366D6CD" w14:textId="77777777" w:rsidR="00A0358B" w:rsidRDefault="00A0358B" w:rsidP="00F12FD5">
            <w:pPr>
              <w:ind w:right="181"/>
              <w:jc w:val="center"/>
            </w:pPr>
            <w:r w:rsidRPr="00F12FD5">
              <w:rPr>
                <w:rFonts w:eastAsia="Yu Mincho" w:cs="Arial"/>
                <w:b/>
                <w:sz w:val="20"/>
                <w:szCs w:val="22"/>
              </w:rPr>
              <w:t>Měsíční ceny</w:t>
            </w:r>
          </w:p>
        </w:tc>
        <w:tc>
          <w:tcPr>
            <w:tcW w:w="3260" w:type="dxa"/>
            <w:tcBorders>
              <w:top w:val="single" w:sz="4" w:space="0" w:color="000000"/>
              <w:left w:val="single" w:sz="4" w:space="0" w:color="000000"/>
              <w:right w:val="single" w:sz="4" w:space="0" w:color="000000"/>
            </w:tcBorders>
            <w:shd w:val="clear" w:color="auto" w:fill="auto"/>
            <w:tcMar>
              <w:top w:w="106" w:type="dxa"/>
              <w:left w:w="106" w:type="dxa"/>
              <w:bottom w:w="0" w:type="dxa"/>
              <w:right w:w="58" w:type="dxa"/>
            </w:tcMar>
            <w:vAlign w:val="center"/>
          </w:tcPr>
          <w:p w14:paraId="2B4B65D1" w14:textId="77777777" w:rsidR="00A0358B" w:rsidRDefault="00A0358B" w:rsidP="00F12FD5">
            <w:pPr>
              <w:ind w:right="181"/>
              <w:jc w:val="center"/>
            </w:pPr>
            <w:r>
              <w:rPr>
                <w:rFonts w:eastAsia="Yu Mincho" w:cs="Arial"/>
                <w:b/>
                <w:sz w:val="20"/>
                <w:szCs w:val="22"/>
              </w:rPr>
              <w:t>Jednorázové ceny</w:t>
            </w:r>
          </w:p>
        </w:tc>
      </w:tr>
      <w:tr w:rsidR="00A0358B" w14:paraId="52151137" w14:textId="77777777" w:rsidTr="00330943">
        <w:trPr>
          <w:trHeight w:val="366"/>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0AE2624F" w14:textId="77777777" w:rsidR="00A0358B" w:rsidRDefault="00A0358B" w:rsidP="00330943">
            <w:pPr>
              <w:ind w:left="2"/>
            </w:pPr>
            <w:r>
              <w:rPr>
                <w:rFonts w:cs="Calibri"/>
                <w:b/>
                <w:bCs/>
                <w:color w:val="000000"/>
                <w:sz w:val="20"/>
                <w:szCs w:val="22"/>
              </w:rPr>
              <w:t>Služby pasivního přístupu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29E2375C" w14:textId="77777777" w:rsidR="00A0358B" w:rsidRDefault="00A0358B" w:rsidP="00330943">
            <w:pPr>
              <w:jc w:val="center"/>
            </w:pPr>
            <w:r>
              <w:rPr>
                <w:rFonts w:eastAsia="Calibri" w:cs="Calibri"/>
                <w:sz w:val="20"/>
              </w:rPr>
              <w:t>nákladově orientované</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667282E9" w14:textId="77777777" w:rsidR="00A0358B" w:rsidRDefault="00A0358B" w:rsidP="00330943">
            <w:pPr>
              <w:ind w:left="2"/>
              <w:jc w:val="center"/>
            </w:pPr>
            <w:r>
              <w:rPr>
                <w:rFonts w:eastAsia="Calibri" w:cs="Calibri"/>
                <w:sz w:val="20"/>
              </w:rPr>
              <w:t>nákladově orientované</w:t>
            </w:r>
          </w:p>
        </w:tc>
      </w:tr>
      <w:tr w:rsidR="00A0358B" w14:paraId="3C6E482F" w14:textId="77777777" w:rsidTr="00330943">
        <w:trPr>
          <w:trHeight w:val="366"/>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0D424C64" w14:textId="77777777" w:rsidR="00A0358B" w:rsidRDefault="00A0358B" w:rsidP="00330943">
            <w:pPr>
              <w:ind w:left="2"/>
              <w:rPr>
                <w:rFonts w:cs="Calibri"/>
                <w:b/>
                <w:bCs/>
                <w:color w:val="000000"/>
                <w:sz w:val="20"/>
                <w:szCs w:val="22"/>
              </w:rPr>
            </w:pPr>
            <w:r>
              <w:rPr>
                <w:rFonts w:cs="Calibri"/>
                <w:b/>
                <w:bCs/>
                <w:color w:val="000000"/>
                <w:sz w:val="20"/>
                <w:szCs w:val="22"/>
              </w:rPr>
              <w:t>Služby aktivního přístupu k síti páteřního připojení</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437950E6" w14:textId="77777777" w:rsidR="00A0358B" w:rsidRDefault="00A0358B" w:rsidP="00330943">
            <w:pPr>
              <w:jc w:val="center"/>
              <w:rPr>
                <w:rFonts w:eastAsia="Calibri" w:cs="Calibri"/>
                <w:sz w:val="20"/>
              </w:rPr>
            </w:pPr>
            <w:r>
              <w:rPr>
                <w:rFonts w:eastAsia="Calibri" w:cs="Calibri"/>
                <w:sz w:val="20"/>
              </w:rPr>
              <w:t>průměr zveřejněných obvyklých cen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202166B7" w14:textId="77777777" w:rsidR="00A0358B" w:rsidRDefault="00A0358B" w:rsidP="00330943">
            <w:pPr>
              <w:ind w:left="2"/>
              <w:jc w:val="center"/>
              <w:rPr>
                <w:rFonts w:eastAsia="Calibri" w:cs="Calibri"/>
                <w:sz w:val="20"/>
              </w:rPr>
            </w:pPr>
            <w:r>
              <w:rPr>
                <w:rFonts w:eastAsia="Calibri" w:cs="Calibri"/>
                <w:sz w:val="20"/>
              </w:rPr>
              <w:t>průměr zveřejněných obvyklých cen</w:t>
            </w:r>
          </w:p>
        </w:tc>
      </w:tr>
      <w:tr w:rsidR="00A0358B" w14:paraId="0BCEB9D1" w14:textId="77777777" w:rsidTr="00330943">
        <w:trPr>
          <w:trHeight w:val="366"/>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tcPr>
          <w:p w14:paraId="6DD3F469" w14:textId="77777777" w:rsidR="00A0358B" w:rsidRDefault="00A0358B" w:rsidP="00330943">
            <w:pPr>
              <w:ind w:left="2"/>
              <w:rPr>
                <w:rFonts w:cs="Calibri"/>
                <w:b/>
                <w:bCs/>
                <w:color w:val="000000"/>
                <w:sz w:val="20"/>
                <w:szCs w:val="22"/>
              </w:rPr>
            </w:pPr>
            <w:r>
              <w:rPr>
                <w:rFonts w:cs="Calibri"/>
                <w:b/>
                <w:bCs/>
                <w:color w:val="000000"/>
                <w:sz w:val="20"/>
                <w:szCs w:val="22"/>
              </w:rPr>
              <w:t>Služby aktivního přístupu k mobilní přístupové síti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775448F7" w14:textId="77777777" w:rsidR="00A0358B" w:rsidRDefault="00A0358B" w:rsidP="00330943">
            <w:pPr>
              <w:jc w:val="center"/>
              <w:rPr>
                <w:rFonts w:eastAsia="Calibri" w:cs="Calibri"/>
                <w:sz w:val="20"/>
              </w:rPr>
            </w:pPr>
            <w:r>
              <w:rPr>
                <w:rFonts w:eastAsia="Calibri" w:cs="Calibri"/>
                <w:sz w:val="20"/>
              </w:rPr>
              <w:t>Nákladově orientované</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6" w:type="dxa"/>
              <w:left w:w="106" w:type="dxa"/>
              <w:bottom w:w="0" w:type="dxa"/>
              <w:right w:w="58" w:type="dxa"/>
            </w:tcMar>
            <w:vAlign w:val="center"/>
          </w:tcPr>
          <w:p w14:paraId="7780306D" w14:textId="77777777" w:rsidR="00A0358B" w:rsidRDefault="00A0358B" w:rsidP="00330943">
            <w:pPr>
              <w:ind w:left="2"/>
              <w:jc w:val="center"/>
              <w:rPr>
                <w:rFonts w:eastAsia="Calibri" w:cs="Calibri"/>
                <w:sz w:val="20"/>
              </w:rPr>
            </w:pPr>
            <w:r>
              <w:rPr>
                <w:rFonts w:eastAsia="Calibri" w:cs="Calibri"/>
                <w:sz w:val="20"/>
              </w:rPr>
              <w:t>Nákladově orientované</w:t>
            </w:r>
          </w:p>
        </w:tc>
      </w:tr>
    </w:tbl>
    <w:p w14:paraId="14BB2FEA" w14:textId="77777777" w:rsidR="00290298" w:rsidRDefault="00290298">
      <w:pPr>
        <w:pStyle w:val="Style1"/>
        <w:numPr>
          <w:ilvl w:val="0"/>
          <w:numId w:val="0"/>
        </w:numPr>
        <w:ind w:left="425" w:hanging="360"/>
      </w:pPr>
    </w:p>
    <w:p w14:paraId="6C29E531" w14:textId="77777777" w:rsidR="007F0817" w:rsidRDefault="00FD2D52" w:rsidP="00F12FD5">
      <w:pPr>
        <w:pStyle w:val="Style1"/>
        <w:numPr>
          <w:ilvl w:val="0"/>
          <w:numId w:val="23"/>
        </w:numPr>
        <w:spacing w:after="76"/>
        <w:ind w:left="425" w:hanging="425"/>
      </w:pPr>
      <w:r>
        <w:lastRenderedPageBreak/>
        <w:t xml:space="preserve">Velkoobchodní ceny budou stanoveny jako ceny maximální, v případě sjednání cen nižších, musí </w:t>
      </w:r>
      <w:r w:rsidR="007F0817">
        <w:t>P</w:t>
      </w:r>
      <w:r>
        <w:t xml:space="preserve">říjemce dotace v souladu se základními principy v kap. I. těchto Pokynů přistupovat ke všem </w:t>
      </w:r>
      <w:r w:rsidR="007F0817">
        <w:t>Žadatelům o přístup</w:t>
      </w:r>
      <w:r>
        <w:t xml:space="preserve"> nediskriminačně.</w:t>
      </w:r>
    </w:p>
    <w:p w14:paraId="1E4A8A0E" w14:textId="77777777" w:rsidR="00290298" w:rsidRDefault="00290298" w:rsidP="00F12FD5">
      <w:pPr>
        <w:pStyle w:val="Style1"/>
        <w:numPr>
          <w:ilvl w:val="0"/>
          <w:numId w:val="0"/>
        </w:numPr>
        <w:ind w:left="1068" w:hanging="360"/>
        <w:rPr>
          <w:color w:val="000000"/>
          <w:sz w:val="24"/>
          <w:szCs w:val="24"/>
        </w:rPr>
      </w:pPr>
    </w:p>
    <w:p w14:paraId="2C9EFB4D" w14:textId="77777777" w:rsidR="00290298" w:rsidRDefault="00FD2D52">
      <w:pPr>
        <w:spacing w:after="76"/>
        <w:ind w:left="425" w:hanging="425"/>
      </w:pPr>
      <w:r>
        <w:rPr>
          <w:color w:val="000000"/>
          <w:sz w:val="24"/>
          <w:szCs w:val="24"/>
        </w:rPr>
        <w:t>6.1</w:t>
      </w:r>
      <w:r>
        <w:tab/>
      </w:r>
      <w:r>
        <w:rPr>
          <w:color w:val="000000"/>
          <w:sz w:val="24"/>
          <w:szCs w:val="24"/>
          <w:u w:val="single"/>
        </w:rPr>
        <w:t>Pasivní přístup k infrastruktuře za účelem umístění aktivních prvků mobilní sítě</w:t>
      </w:r>
    </w:p>
    <w:p w14:paraId="6A1B85FF" w14:textId="77777777" w:rsidR="00290298" w:rsidRDefault="00FD2D52">
      <w:pPr>
        <w:pStyle w:val="Style1"/>
        <w:numPr>
          <w:ilvl w:val="0"/>
          <w:numId w:val="23"/>
        </w:numPr>
        <w:ind w:left="425" w:hanging="425"/>
      </w:pPr>
      <w:r>
        <w:t xml:space="preserve">Vzhledem k tomu, že veřejná podpora v navrženém dotačním programu se týká pouze investičních nákladů spojených s budováním infrastruktury i navržený ekonomický model pro stanovení cen koncepčně odpovídá regulačnímu a dotačnímu rámci stanovenému EK, ČTÚ a MPO pro návratnost investic v případě v minulosti vyhlášených dotačních titulů na výstavbu pasivní infrastruktury pro pevné NGA/VHCN sítě s tím, že takto stanovené velkoobchodní </w:t>
      </w:r>
      <w:proofErr w:type="spellStart"/>
      <w:r>
        <w:t>mezioperátorské</w:t>
      </w:r>
      <w:proofErr w:type="spellEnd"/>
      <w:r>
        <w:t xml:space="preserve"> ceny jsou nákladově orientované. </w:t>
      </w:r>
    </w:p>
    <w:p w14:paraId="3CF07D59" w14:textId="77777777" w:rsidR="00290298" w:rsidRDefault="00FD2D52">
      <w:pPr>
        <w:pStyle w:val="Style1"/>
        <w:numPr>
          <w:ilvl w:val="0"/>
          <w:numId w:val="23"/>
        </w:numPr>
        <w:ind w:left="425" w:hanging="425"/>
      </w:pPr>
      <w:r>
        <w:t>Tento model předpokládá požadavek na využití vybudované pasivní infrastruktury ze strany oprávněných žadatelů, a to přístup na konstrukci věže základnové stanice (včetně</w:t>
      </w:r>
      <w:r w:rsidR="00FE1CC1">
        <w:t xml:space="preserve"> přístupu</w:t>
      </w:r>
      <w:r>
        <w:t xml:space="preserve"> </w:t>
      </w:r>
      <w:r w:rsidR="003F6606">
        <w:t>k</w:t>
      </w:r>
      <w:r w:rsidR="00FE1CC1">
        <w:t> přípojné části sítě</w:t>
      </w:r>
      <w:r>
        <w:t xml:space="preserve"> v případě optické konektivity).</w:t>
      </w:r>
    </w:p>
    <w:p w14:paraId="7105A6E1" w14:textId="77777777" w:rsidR="00290298" w:rsidRDefault="00FD2D52">
      <w:pPr>
        <w:pStyle w:val="Style1"/>
        <w:numPr>
          <w:ilvl w:val="0"/>
          <w:numId w:val="23"/>
        </w:numPr>
        <w:ind w:left="425" w:hanging="425"/>
      </w:pPr>
      <w:r>
        <w:t>Ekonomický model zohledňuje dotační příspěvek v případě staveb většinově financovaných z veřejn</w:t>
      </w:r>
      <w:r w:rsidR="003F6606">
        <w:t>ých</w:t>
      </w:r>
      <w:r>
        <w:t xml:space="preserve"> zdrojů, a to ve formě odpočtu od celkových investičních nákladů. V případě přístupu na věž základnové stanice za účelem umístění aktivních prvků (rádií) se výsledná cena (roční poplatek) za přístup k infrastruktuře skládá ze dvou základních položek. Jde o poměrnou část investičních nákladů očištěných o výši dotace a poměrnou část provozních nákladů, které nejsou předmětem dotační podpory (způsob stanovení této ceny je podrobněji popsán dále).</w:t>
      </w:r>
    </w:p>
    <w:p w14:paraId="00E006FE" w14:textId="77777777" w:rsidR="00290298" w:rsidRDefault="00FD2D52">
      <w:pPr>
        <w:pStyle w:val="Style1"/>
        <w:numPr>
          <w:ilvl w:val="0"/>
          <w:numId w:val="23"/>
        </w:numPr>
        <w:ind w:left="425" w:hanging="425"/>
      </w:pPr>
      <w:r>
        <w:t xml:space="preserve">Výsledné ceny dle ekonomického modelu jsou stanoveny jako ceny maximální zohledňující dotační podporu. </w:t>
      </w:r>
    </w:p>
    <w:p w14:paraId="2D78FE7D" w14:textId="77777777" w:rsidR="00290298" w:rsidRDefault="00FD2D52">
      <w:pPr>
        <w:pStyle w:val="Style1"/>
        <w:numPr>
          <w:ilvl w:val="0"/>
          <w:numId w:val="23"/>
        </w:numPr>
        <w:ind w:left="425" w:hanging="425"/>
      </w:pPr>
      <w:r>
        <w:t>Ceny pronájmu jsou stanoveny na základě propočtu „čisté současné hodnoty“ (NPV) peněžních toků s předpokladem životnosti infrastruktury v délce 15 let, tak jak předpokládá regulační rámec stanovený ČTÚ. Cena pronájmu infrastruktury se přiměřeně dělí mezi všechny subjekty umisťující v dané době své technologie na infastruktuře základnové stanice. Při vstupu nového uživatele a umístění nové technologie dochází k přepočtu ceny pronájmu vždy podle aktuálního poměru využití kapacity základnové stanice.</w:t>
      </w:r>
    </w:p>
    <w:p w14:paraId="15C7CE71" w14:textId="77777777" w:rsidR="00290298" w:rsidRDefault="00FD2D52">
      <w:pPr>
        <w:pStyle w:val="Style1"/>
        <w:numPr>
          <w:ilvl w:val="0"/>
          <w:numId w:val="23"/>
        </w:numPr>
        <w:ind w:left="425" w:hanging="425"/>
      </w:pPr>
      <w:r>
        <w:t xml:space="preserve">Ceny pronájmu jsou navyšovány každý rok o výši roční inflace dle oficiálního indexu spotřebitelských cen vyhlašovaných ČSÚ. Ekonomický model předpokládá konstantní inflaci ve výši 2 % </w:t>
      </w:r>
      <w:proofErr w:type="spellStart"/>
      <w:r>
        <w:t>p.a</w:t>
      </w:r>
      <w:proofErr w:type="spellEnd"/>
      <w:r>
        <w:t xml:space="preserve">. jak pro výnosy, tak náklady. </w:t>
      </w:r>
    </w:p>
    <w:p w14:paraId="2D47798A" w14:textId="77777777" w:rsidR="00290298" w:rsidRDefault="00FD2D52">
      <w:pPr>
        <w:pStyle w:val="Style1"/>
        <w:numPr>
          <w:ilvl w:val="0"/>
          <w:numId w:val="23"/>
        </w:numPr>
        <w:ind w:left="425" w:hanging="425"/>
      </w:pPr>
      <w:r>
        <w:t xml:space="preserve">Diskontní sazba (WACC) ve výpočtu čisté současné hodnoty vychází z regulačního rámce ČTÚ, a to konkrétně z v danou chvíli platného znění opatření obecné povahy č. </w:t>
      </w:r>
      <w:r w:rsidR="00E528C8">
        <w:t>OOP/4/10.2022-20</w:t>
      </w:r>
      <w:r>
        <w:t xml:space="preserve"> ze dne </w:t>
      </w:r>
      <w:r w:rsidR="00E528C8">
        <w:t>17</w:t>
      </w:r>
      <w:r>
        <w:t xml:space="preserve">. </w:t>
      </w:r>
      <w:r w:rsidR="00E528C8">
        <w:t>října</w:t>
      </w:r>
      <w:r>
        <w:t xml:space="preserve"> 20</w:t>
      </w:r>
      <w:r w:rsidR="00E528C8">
        <w:t>22</w:t>
      </w:r>
      <w:r>
        <w:t xml:space="preserve"> ve znění pozdějších změn či předpisů tento předpis nahrazující. Pro účely této výzvy se v souladu s účelem této výzvy a s podmínkami tohoto opatření obecné povahy použije hodnota WACC vztahující se na služby přístupu k sítím NGA (FTTH/FTTB) a </w:t>
      </w:r>
      <w:r w:rsidR="00520B1F">
        <w:t>služby poskytované prostřednictvím sítě 5G</w:t>
      </w:r>
      <w:r>
        <w:t>.</w:t>
      </w:r>
    </w:p>
    <w:p w14:paraId="2A0E72F8" w14:textId="77777777" w:rsidR="00290298" w:rsidRDefault="00FD2D52">
      <w:pPr>
        <w:pStyle w:val="Style1"/>
        <w:numPr>
          <w:ilvl w:val="0"/>
          <w:numId w:val="23"/>
        </w:numPr>
        <w:ind w:left="425" w:hanging="425"/>
      </w:pPr>
      <w:r>
        <w:t>Rozpočítání podílů poplatků za užívání infrastruktury mezi jednotlivé oprávněné žadatele reflektuje podíl využití infrastruktury jednotlivými operátory a základním parametrem pro výpočet nákladově orientované ceny je podíl na využití prvku dotované infrastruktury v tomto případě vyjádřený plochou, kterou na věži zabírá umístěný prvek</w:t>
      </w:r>
      <w:r w:rsidR="00F04CC9">
        <w:t xml:space="preserve"> komunikace</w:t>
      </w:r>
      <w:r>
        <w:t xml:space="preserve"> (např. anténa šířící 5G signál mobilní sítě). </w:t>
      </w:r>
    </w:p>
    <w:p w14:paraId="075D6F66" w14:textId="77777777" w:rsidR="00290298" w:rsidRDefault="00FD2D52">
      <w:pPr>
        <w:pStyle w:val="Style1"/>
        <w:numPr>
          <w:ilvl w:val="0"/>
          <w:numId w:val="23"/>
        </w:numPr>
        <w:ind w:left="425" w:hanging="425"/>
      </w:pPr>
      <w:r>
        <w:t>Výpočet dle nákladového modelu bude uplatněn jednotlivě pro každou lokalitu základnové stanice na základě skutečně vynaložených nákladů.</w:t>
      </w:r>
    </w:p>
    <w:p w14:paraId="268748FA" w14:textId="77777777" w:rsidR="00290298" w:rsidRDefault="00290298">
      <w:pPr>
        <w:pStyle w:val="Style1"/>
        <w:numPr>
          <w:ilvl w:val="0"/>
          <w:numId w:val="0"/>
        </w:numPr>
        <w:ind w:left="1068" w:hanging="360"/>
      </w:pPr>
    </w:p>
    <w:p w14:paraId="2F076165" w14:textId="77777777" w:rsidR="00290298" w:rsidRDefault="00FD2D52">
      <w:pPr>
        <w:spacing w:after="76"/>
        <w:ind w:left="425" w:hanging="425"/>
      </w:pPr>
      <w:proofErr w:type="gramStart"/>
      <w:r>
        <w:rPr>
          <w:color w:val="000000"/>
          <w:sz w:val="24"/>
          <w:szCs w:val="24"/>
        </w:rPr>
        <w:t>6.1.</w:t>
      </w:r>
      <w:r w:rsidR="00B22DFA">
        <w:rPr>
          <w:color w:val="000000"/>
          <w:sz w:val="24"/>
          <w:szCs w:val="24"/>
        </w:rPr>
        <w:t>1</w:t>
      </w:r>
      <w:r w:rsidR="00B22DFA">
        <w:t xml:space="preserve">  </w:t>
      </w:r>
      <w:r>
        <w:rPr>
          <w:color w:val="000000"/>
          <w:sz w:val="24"/>
          <w:szCs w:val="24"/>
          <w:u w:val="single"/>
        </w:rPr>
        <w:t>Parametrické</w:t>
      </w:r>
      <w:proofErr w:type="gramEnd"/>
      <w:r>
        <w:rPr>
          <w:color w:val="000000"/>
          <w:sz w:val="24"/>
          <w:szCs w:val="24"/>
          <w:u w:val="single"/>
        </w:rPr>
        <w:t xml:space="preserve"> vstupy modelu</w:t>
      </w:r>
    </w:p>
    <w:p w14:paraId="49303539" w14:textId="77777777" w:rsidR="00290298" w:rsidRDefault="00FD2D52">
      <w:pPr>
        <w:pStyle w:val="Style1"/>
        <w:numPr>
          <w:ilvl w:val="0"/>
          <w:numId w:val="23"/>
        </w:numPr>
        <w:ind w:left="425" w:hanging="425"/>
      </w:pPr>
      <w:r>
        <w:t>Základním</w:t>
      </w:r>
      <w:r>
        <w:rPr>
          <w:rFonts w:cs="Calibri"/>
        </w:rPr>
        <w:t xml:space="preserve"> vstupním parametrem modelu jsou celkové skutečně vynaložené investičních výdaje (po odečtení případné dotace), které tvoří zejména:</w:t>
      </w:r>
    </w:p>
    <w:p w14:paraId="59769F83" w14:textId="77777777" w:rsidR="00290298" w:rsidRDefault="00FD2D52">
      <w:pPr>
        <w:pStyle w:val="Odstavecseseznamem"/>
        <w:numPr>
          <w:ilvl w:val="0"/>
          <w:numId w:val="29"/>
        </w:numPr>
        <w:spacing w:before="0"/>
        <w:ind w:left="709" w:hanging="284"/>
      </w:pPr>
      <w:r>
        <w:t>Akviziční náklady na vyhledání a získání lokality pro umístění infrastruktury;</w:t>
      </w:r>
    </w:p>
    <w:p w14:paraId="36D257FB" w14:textId="77777777" w:rsidR="00290298" w:rsidRDefault="00FD2D52">
      <w:pPr>
        <w:pStyle w:val="Odstavecseseznamem"/>
        <w:numPr>
          <w:ilvl w:val="0"/>
          <w:numId w:val="29"/>
        </w:numPr>
        <w:spacing w:before="0"/>
        <w:ind w:left="709" w:hanging="284"/>
      </w:pPr>
      <w:r>
        <w:lastRenderedPageBreak/>
        <w:t>Náklady na získání služebnosti/věcných břemen spojené s pozemkem pro umístění věže základnové stanice (max. o velikosti do 100 m</w:t>
      </w:r>
      <w:proofErr w:type="gramStart"/>
      <w:r>
        <w:rPr>
          <w:vertAlign w:val="superscript"/>
        </w:rPr>
        <w:t>2</w:t>
      </w:r>
      <w:r>
        <w:t xml:space="preserve"> </w:t>
      </w:r>
      <w:r w:rsidR="00B22DFA">
        <w:t>)</w:t>
      </w:r>
      <w:proofErr w:type="gramEnd"/>
      <w:r w:rsidR="00B22DFA">
        <w:t xml:space="preserve"> </w:t>
      </w:r>
      <w:r>
        <w:t xml:space="preserve">a s vybudováním </w:t>
      </w:r>
      <w:r w:rsidR="00BD7D33">
        <w:t>optické přípojné části sítě</w:t>
      </w:r>
      <w:r>
        <w:t xml:space="preserve"> (uložení optických kabelů na cizích pozemcích);</w:t>
      </w:r>
    </w:p>
    <w:p w14:paraId="3E860788" w14:textId="77777777" w:rsidR="00290298" w:rsidRDefault="00FD2D52">
      <w:pPr>
        <w:pStyle w:val="Odstavecseseznamem"/>
        <w:numPr>
          <w:ilvl w:val="0"/>
          <w:numId w:val="29"/>
        </w:numPr>
        <w:spacing w:before="0"/>
        <w:ind w:left="709" w:hanging="284"/>
      </w:pPr>
      <w:r>
        <w:t>Úplné personální náklady (či náklady na služby třetích stran) spojené s projektovým vedením celé investiční akce;</w:t>
      </w:r>
    </w:p>
    <w:p w14:paraId="36DBD3F5" w14:textId="77777777" w:rsidR="00290298" w:rsidRDefault="00FD2D52">
      <w:pPr>
        <w:pStyle w:val="Odstavecseseznamem"/>
        <w:numPr>
          <w:ilvl w:val="0"/>
          <w:numId w:val="29"/>
        </w:numPr>
        <w:spacing w:before="0"/>
        <w:ind w:left="709" w:hanging="284"/>
      </w:pPr>
      <w:r>
        <w:t>Náklady na připojení na elektrickou rozvodnou síť, na optick</w:t>
      </w:r>
      <w:r w:rsidR="00BD7D33">
        <w:t>ou přípojnou</w:t>
      </w:r>
      <w:r w:rsidR="00B22DFA" w:rsidRPr="00B22DFA">
        <w:t xml:space="preserve"> </w:t>
      </w:r>
      <w:r w:rsidR="00BD7D33">
        <w:t>část sítě</w:t>
      </w:r>
      <w:r>
        <w:t>, na vybudování příjezdové komunikace;</w:t>
      </w:r>
    </w:p>
    <w:p w14:paraId="2A5F38E5" w14:textId="77777777" w:rsidR="00290298" w:rsidRDefault="00FD2D52">
      <w:pPr>
        <w:pStyle w:val="Odstavecseseznamem"/>
        <w:numPr>
          <w:ilvl w:val="0"/>
          <w:numId w:val="29"/>
        </w:numPr>
        <w:spacing w:before="0"/>
        <w:ind w:left="709" w:hanging="284"/>
      </w:pPr>
      <w:r>
        <w:t>Náklady na oplocení, kontejner, klimatizace, zabezpečení;</w:t>
      </w:r>
    </w:p>
    <w:p w14:paraId="22166955" w14:textId="77777777" w:rsidR="00290298" w:rsidRDefault="00FD2D52">
      <w:pPr>
        <w:pStyle w:val="Odstavecseseznamem"/>
        <w:numPr>
          <w:ilvl w:val="0"/>
          <w:numId w:val="29"/>
        </w:numPr>
        <w:spacing w:before="0"/>
        <w:ind w:left="709" w:hanging="284"/>
      </w:pPr>
      <w:r>
        <w:t>Přímé investiční náklady na vybudování inf</w:t>
      </w:r>
      <w:r w:rsidR="00B22DFA">
        <w:t>r</w:t>
      </w:r>
      <w:r>
        <w:t>astruktury včetně IRU a všech souvisejících komponent dle schématu (viz následující obrázek):</w:t>
      </w:r>
    </w:p>
    <w:p w14:paraId="50D3A7F0" w14:textId="77777777" w:rsidR="00290298" w:rsidRDefault="00FD2D52">
      <w:pPr>
        <w:pStyle w:val="Style1"/>
        <w:numPr>
          <w:ilvl w:val="0"/>
          <w:numId w:val="0"/>
        </w:numPr>
        <w:ind w:left="425" w:hanging="360"/>
        <w:jc w:val="center"/>
      </w:pPr>
      <w:r>
        <w:rPr>
          <w:rFonts w:cs="Calibri"/>
          <w:noProof/>
          <w:sz w:val="20"/>
          <w:szCs w:val="20"/>
        </w:rPr>
        <w:drawing>
          <wp:inline distT="0" distB="0" distL="0" distR="0" wp14:anchorId="228EEDF8" wp14:editId="604C0E9F">
            <wp:extent cx="4736006" cy="2787118"/>
            <wp:effectExtent l="0" t="0" r="7444" b="0"/>
            <wp:docPr id="6" name="Picture 3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736006" cy="2787118"/>
                    </a:xfrm>
                    <a:prstGeom prst="rect">
                      <a:avLst/>
                    </a:prstGeom>
                    <a:noFill/>
                    <a:ln>
                      <a:noFill/>
                      <a:prstDash/>
                    </a:ln>
                  </pic:spPr>
                </pic:pic>
              </a:graphicData>
            </a:graphic>
          </wp:inline>
        </w:drawing>
      </w:r>
    </w:p>
    <w:p w14:paraId="62DE75A8" w14:textId="77777777" w:rsidR="00290298" w:rsidRDefault="00290298">
      <w:pPr>
        <w:pStyle w:val="Style1"/>
        <w:numPr>
          <w:ilvl w:val="0"/>
          <w:numId w:val="0"/>
        </w:numPr>
        <w:ind w:left="1068" w:hanging="360"/>
      </w:pPr>
    </w:p>
    <w:p w14:paraId="0B549536" w14:textId="77777777" w:rsidR="00290298" w:rsidRDefault="00FD2D52">
      <w:pPr>
        <w:spacing w:after="76"/>
        <w:ind w:left="425" w:hanging="425"/>
      </w:pPr>
      <w:r>
        <w:rPr>
          <w:color w:val="000000"/>
          <w:sz w:val="24"/>
          <w:szCs w:val="24"/>
        </w:rPr>
        <w:t>6.1.</w:t>
      </w:r>
      <w:r w:rsidR="00B22DFA">
        <w:rPr>
          <w:color w:val="000000"/>
          <w:sz w:val="24"/>
          <w:szCs w:val="24"/>
        </w:rPr>
        <w:t>2</w:t>
      </w:r>
      <w:r>
        <w:tab/>
      </w:r>
      <w:r>
        <w:rPr>
          <w:color w:val="000000"/>
          <w:sz w:val="24"/>
          <w:szCs w:val="24"/>
          <w:u w:val="single"/>
        </w:rPr>
        <w:t>Investiční a provozní náklady</w:t>
      </w:r>
    </w:p>
    <w:p w14:paraId="46ECF0AA" w14:textId="77777777" w:rsidR="00290298" w:rsidRDefault="00FD2D52">
      <w:pPr>
        <w:pStyle w:val="Style1"/>
        <w:numPr>
          <w:ilvl w:val="0"/>
          <w:numId w:val="23"/>
        </w:numPr>
        <w:ind w:left="425" w:hanging="425"/>
      </w:pPr>
      <w:r>
        <w:rPr>
          <w:rFonts w:eastAsia="Calibri"/>
          <w:b/>
        </w:rPr>
        <w:t>Investiční náklad</w:t>
      </w:r>
      <w:r>
        <w:rPr>
          <w:rFonts w:eastAsia="Calibri"/>
        </w:rPr>
        <w:t xml:space="preserve"> zahrnuje </w:t>
      </w:r>
      <w:r>
        <w:rPr>
          <w:rFonts w:cs="Calibri"/>
        </w:rPr>
        <w:t>cenu</w:t>
      </w:r>
      <w:r>
        <w:rPr>
          <w:rFonts w:eastAsia="Calibri"/>
        </w:rPr>
        <w:t xml:space="preserve"> za vybudování pasivní infrastruktury a zahrnuje zejména</w:t>
      </w:r>
      <w:r w:rsidR="00E76D2E">
        <w:rPr>
          <w:rFonts w:eastAsia="Calibri"/>
        </w:rPr>
        <w:t xml:space="preserve"> cenu za</w:t>
      </w:r>
      <w:r>
        <w:rPr>
          <w:rFonts w:eastAsia="Calibri"/>
        </w:rPr>
        <w:t>:</w:t>
      </w:r>
    </w:p>
    <w:p w14:paraId="0AD97E81" w14:textId="77777777" w:rsidR="00290298" w:rsidRDefault="00FD2D52">
      <w:pPr>
        <w:pStyle w:val="Odstavecseseznamem"/>
        <w:numPr>
          <w:ilvl w:val="0"/>
          <w:numId w:val="30"/>
        </w:numPr>
        <w:spacing w:before="0"/>
        <w:ind w:left="709" w:hanging="284"/>
      </w:pPr>
      <w:r>
        <w:rPr>
          <w:rFonts w:eastAsia="Calibri" w:cs="Arial"/>
        </w:rPr>
        <w:t>sloup/věž/stožár/</w:t>
      </w:r>
      <w:proofErr w:type="spellStart"/>
      <w:r>
        <w:rPr>
          <w:rFonts w:eastAsia="Calibri" w:cs="Arial"/>
        </w:rPr>
        <w:t>rooftop</w:t>
      </w:r>
      <w:proofErr w:type="spellEnd"/>
      <w:r>
        <w:rPr>
          <w:rFonts w:eastAsia="Calibri" w:cs="Arial"/>
        </w:rPr>
        <w:t xml:space="preserve"> včetně akviziční činnosti, projednání stavby a nájemní smlouvy, prováděcí projekt i pro el. přípojku </w:t>
      </w:r>
      <w:r w:rsidR="00E76D2E">
        <w:rPr>
          <w:rFonts w:eastAsia="Calibri" w:cs="Arial"/>
        </w:rPr>
        <w:t xml:space="preserve">do </w:t>
      </w:r>
      <w:r>
        <w:rPr>
          <w:rFonts w:eastAsia="Calibri" w:cs="Arial"/>
        </w:rPr>
        <w:t>500 m,</w:t>
      </w:r>
    </w:p>
    <w:p w14:paraId="54D6DF0C" w14:textId="77777777" w:rsidR="00290298" w:rsidRDefault="00FD2D52">
      <w:pPr>
        <w:pStyle w:val="Odstavecseseznamem"/>
        <w:numPr>
          <w:ilvl w:val="0"/>
          <w:numId w:val="30"/>
        </w:numPr>
        <w:spacing w:before="0"/>
        <w:ind w:left="709" w:hanging="284"/>
      </w:pPr>
      <w:r>
        <w:rPr>
          <w:rFonts w:eastAsia="Calibri" w:cs="Arial"/>
        </w:rPr>
        <w:t>elektrickou přípojku včetně výkopu do 500 m délky,</w:t>
      </w:r>
    </w:p>
    <w:p w14:paraId="5237B470" w14:textId="77777777" w:rsidR="00290298" w:rsidRDefault="00FD2D52">
      <w:pPr>
        <w:pStyle w:val="Odstavecseseznamem"/>
        <w:numPr>
          <w:ilvl w:val="0"/>
          <w:numId w:val="30"/>
        </w:numPr>
        <w:spacing w:before="0"/>
        <w:ind w:left="709" w:hanging="284"/>
      </w:pPr>
      <w:r>
        <w:rPr>
          <w:rFonts w:eastAsia="Calibri" w:cs="Arial"/>
        </w:rPr>
        <w:t>přípoj elektřiny „</w:t>
      </w:r>
      <w:proofErr w:type="spellStart"/>
      <w:r>
        <w:rPr>
          <w:rFonts w:eastAsia="Calibri" w:cs="Arial"/>
        </w:rPr>
        <w:t>pilířek</w:t>
      </w:r>
      <w:proofErr w:type="spellEnd"/>
      <w:r>
        <w:rPr>
          <w:rFonts w:eastAsia="Calibri" w:cs="Arial"/>
        </w:rPr>
        <w:t>“, připojovací místo, elektrorozvody na stanici včetně rozvaděče R1 a přepěťových ochran,</w:t>
      </w:r>
    </w:p>
    <w:p w14:paraId="3E1207CD" w14:textId="77777777" w:rsidR="00290298" w:rsidRDefault="00FD2D52">
      <w:pPr>
        <w:pStyle w:val="Odstavecseseznamem"/>
        <w:numPr>
          <w:ilvl w:val="0"/>
          <w:numId w:val="30"/>
        </w:numPr>
        <w:spacing w:before="0"/>
        <w:ind w:left="709" w:hanging="284"/>
      </w:pPr>
      <w:r>
        <w:rPr>
          <w:rFonts w:eastAsia="Calibri" w:cs="Arial"/>
        </w:rPr>
        <w:t>zpevněn</w:t>
      </w:r>
      <w:r w:rsidR="00E76D2E">
        <w:rPr>
          <w:rFonts w:eastAsia="Calibri" w:cs="Arial"/>
        </w:rPr>
        <w:t>ou</w:t>
      </w:r>
      <w:r>
        <w:rPr>
          <w:rFonts w:eastAsia="Calibri" w:cs="Arial"/>
        </w:rPr>
        <w:t xml:space="preserve"> ploch</w:t>
      </w:r>
      <w:r w:rsidR="00E76D2E">
        <w:rPr>
          <w:rFonts w:eastAsia="Calibri" w:cs="Arial"/>
        </w:rPr>
        <w:t>u</w:t>
      </w:r>
      <w:r>
        <w:rPr>
          <w:rFonts w:eastAsia="Calibri" w:cs="Arial"/>
        </w:rPr>
        <w:t xml:space="preserve"> areálu štěrk 64 m²,</w:t>
      </w:r>
    </w:p>
    <w:p w14:paraId="54C21884" w14:textId="77777777" w:rsidR="00290298" w:rsidRDefault="00FD2D52">
      <w:pPr>
        <w:pStyle w:val="Odstavecseseznamem"/>
        <w:numPr>
          <w:ilvl w:val="0"/>
          <w:numId w:val="30"/>
        </w:numPr>
        <w:spacing w:before="0"/>
        <w:ind w:left="709" w:hanging="284"/>
      </w:pPr>
      <w:r>
        <w:rPr>
          <w:rFonts w:eastAsia="Calibri" w:cs="Arial"/>
        </w:rPr>
        <w:t>oplocení o rozměru 8x8 m,</w:t>
      </w:r>
    </w:p>
    <w:p w14:paraId="35336003" w14:textId="77777777" w:rsidR="00290298" w:rsidRDefault="00FD2D52">
      <w:pPr>
        <w:pStyle w:val="Odstavecseseznamem"/>
        <w:numPr>
          <w:ilvl w:val="0"/>
          <w:numId w:val="30"/>
        </w:numPr>
        <w:spacing w:before="0"/>
        <w:ind w:left="709" w:hanging="284"/>
      </w:pPr>
      <w:r>
        <w:rPr>
          <w:rFonts w:eastAsia="Calibri" w:cs="Arial"/>
        </w:rPr>
        <w:t>přístupovou komunikaci – štěrkovou, do 100m délky,</w:t>
      </w:r>
    </w:p>
    <w:p w14:paraId="0EF727B0" w14:textId="77777777" w:rsidR="00290298" w:rsidRDefault="00FD2D52">
      <w:pPr>
        <w:pStyle w:val="Odstavecseseznamem"/>
        <w:numPr>
          <w:ilvl w:val="0"/>
          <w:numId w:val="30"/>
        </w:numPr>
        <w:spacing w:before="0"/>
        <w:ind w:left="709" w:hanging="284"/>
      </w:pPr>
      <w:r>
        <w:rPr>
          <w:rFonts w:eastAsia="Calibri" w:cs="Arial"/>
        </w:rPr>
        <w:t xml:space="preserve">zdroj pro 3 </w:t>
      </w:r>
      <w:r w:rsidR="00E76D2E">
        <w:rPr>
          <w:rFonts w:eastAsia="Calibri" w:cs="Arial"/>
        </w:rPr>
        <w:t>u</w:t>
      </w:r>
      <w:r>
        <w:rPr>
          <w:rFonts w:eastAsia="Calibri" w:cs="Arial"/>
        </w:rPr>
        <w:t>živatele – 18kW</w:t>
      </w:r>
      <w:r w:rsidR="00E76D2E">
        <w:rPr>
          <w:rFonts w:eastAsia="Calibri" w:cs="Arial"/>
        </w:rPr>
        <w:t>,</w:t>
      </w:r>
      <w:r>
        <w:rPr>
          <w:rFonts w:eastAsia="Calibri" w:cs="Arial"/>
        </w:rPr>
        <w:t xml:space="preserve"> 48 V,</w:t>
      </w:r>
    </w:p>
    <w:p w14:paraId="3ABA4130" w14:textId="77777777" w:rsidR="00290298" w:rsidRDefault="00FD2D52">
      <w:pPr>
        <w:pStyle w:val="Odstavecseseznamem"/>
        <w:numPr>
          <w:ilvl w:val="0"/>
          <w:numId w:val="30"/>
        </w:numPr>
        <w:spacing w:before="0"/>
        <w:ind w:left="709" w:hanging="284"/>
      </w:pPr>
      <w:r>
        <w:rPr>
          <w:rFonts w:eastAsia="Calibri" w:cs="Arial"/>
        </w:rPr>
        <w:t>měření elektrické spotřeby jednotlivých operátorů,</w:t>
      </w:r>
    </w:p>
    <w:p w14:paraId="16639566" w14:textId="77777777" w:rsidR="00290298" w:rsidRDefault="00FD2D52">
      <w:pPr>
        <w:pStyle w:val="Odstavecseseznamem"/>
        <w:numPr>
          <w:ilvl w:val="0"/>
          <w:numId w:val="30"/>
        </w:numPr>
        <w:spacing w:before="0"/>
        <w:ind w:left="709" w:hanging="284"/>
      </w:pPr>
      <w:r>
        <w:rPr>
          <w:rFonts w:eastAsia="Calibri" w:cs="Arial"/>
        </w:rPr>
        <w:t>kontejner/</w:t>
      </w:r>
      <w:proofErr w:type="spellStart"/>
      <w:r>
        <w:rPr>
          <w:rFonts w:eastAsia="Calibri" w:cs="Arial"/>
        </w:rPr>
        <w:t>outdoor</w:t>
      </w:r>
      <w:proofErr w:type="spellEnd"/>
      <w:r>
        <w:rPr>
          <w:rFonts w:eastAsia="Calibri" w:cs="Arial"/>
        </w:rPr>
        <w:t xml:space="preserve"> </w:t>
      </w:r>
      <w:proofErr w:type="spellStart"/>
      <w:r>
        <w:rPr>
          <w:rFonts w:eastAsia="Calibri" w:cs="Arial"/>
        </w:rPr>
        <w:t>rack</w:t>
      </w:r>
      <w:proofErr w:type="spellEnd"/>
      <w:r>
        <w:rPr>
          <w:rFonts w:eastAsia="Calibri" w:cs="Arial"/>
        </w:rPr>
        <w:t>,</w:t>
      </w:r>
    </w:p>
    <w:p w14:paraId="05671E0F" w14:textId="77777777" w:rsidR="00290298" w:rsidRDefault="00FD2D52">
      <w:pPr>
        <w:pStyle w:val="Odstavecseseznamem"/>
        <w:numPr>
          <w:ilvl w:val="0"/>
          <w:numId w:val="30"/>
        </w:numPr>
        <w:spacing w:before="0"/>
        <w:ind w:left="709" w:hanging="284"/>
      </w:pPr>
      <w:proofErr w:type="spellStart"/>
      <w:r>
        <w:rPr>
          <w:rFonts w:eastAsia="Calibri" w:cs="Arial"/>
        </w:rPr>
        <w:t>outdoor</w:t>
      </w:r>
      <w:proofErr w:type="spellEnd"/>
      <w:r>
        <w:rPr>
          <w:rFonts w:eastAsia="Calibri" w:cs="Arial"/>
        </w:rPr>
        <w:t xml:space="preserve"> </w:t>
      </w:r>
      <w:proofErr w:type="spellStart"/>
      <w:r>
        <w:rPr>
          <w:rFonts w:eastAsia="Calibri" w:cs="Arial"/>
        </w:rPr>
        <w:t>rack</w:t>
      </w:r>
      <w:proofErr w:type="spellEnd"/>
      <w:r>
        <w:rPr>
          <w:rFonts w:eastAsia="Calibri" w:cs="Arial"/>
        </w:rPr>
        <w:t xml:space="preserve"> – základ pro uložení rámu,</w:t>
      </w:r>
    </w:p>
    <w:p w14:paraId="5FF8DB2C" w14:textId="77777777" w:rsidR="00290298" w:rsidRDefault="00FD2D52">
      <w:pPr>
        <w:pStyle w:val="Odstavecseseznamem"/>
        <w:numPr>
          <w:ilvl w:val="0"/>
          <w:numId w:val="30"/>
        </w:numPr>
        <w:spacing w:before="0"/>
        <w:ind w:left="709" w:hanging="284"/>
      </w:pPr>
      <w:r>
        <w:rPr>
          <w:rFonts w:eastAsia="Calibri" w:cs="Arial"/>
        </w:rPr>
        <w:t>AKU - 2 sady 150Ah kapacity,</w:t>
      </w:r>
    </w:p>
    <w:p w14:paraId="68FD09E3" w14:textId="77777777" w:rsidR="00290298" w:rsidRDefault="00FD2D52">
      <w:pPr>
        <w:pStyle w:val="Odstavecseseznamem"/>
        <w:numPr>
          <w:ilvl w:val="0"/>
          <w:numId w:val="30"/>
        </w:numPr>
        <w:spacing w:before="0"/>
        <w:ind w:left="709" w:hanging="284"/>
      </w:pPr>
      <w:r>
        <w:rPr>
          <w:rFonts w:eastAsia="Calibri" w:cs="Arial"/>
        </w:rPr>
        <w:t>generátorovou zásuvku, osvětlení, R1 rozvaděč,</w:t>
      </w:r>
    </w:p>
    <w:p w14:paraId="4E7140AD" w14:textId="77777777" w:rsidR="00290298" w:rsidRDefault="00FD2D52">
      <w:pPr>
        <w:pStyle w:val="Odstavecseseznamem"/>
        <w:numPr>
          <w:ilvl w:val="0"/>
          <w:numId w:val="30"/>
        </w:numPr>
        <w:spacing w:before="0"/>
        <w:ind w:left="709" w:hanging="284"/>
      </w:pPr>
      <w:r>
        <w:rPr>
          <w:rFonts w:eastAsia="Calibri" w:cs="Arial"/>
        </w:rPr>
        <w:t>hromosvodnou soustavu,</w:t>
      </w:r>
    </w:p>
    <w:p w14:paraId="69CB064F" w14:textId="77777777" w:rsidR="00290298" w:rsidRDefault="00FD2D52">
      <w:pPr>
        <w:pStyle w:val="Odstavecseseznamem"/>
        <w:numPr>
          <w:ilvl w:val="0"/>
          <w:numId w:val="30"/>
        </w:numPr>
        <w:spacing w:before="0"/>
        <w:ind w:left="709" w:hanging="284"/>
      </w:pPr>
      <w:r>
        <w:rPr>
          <w:rFonts w:eastAsia="Calibri" w:cs="Arial"/>
        </w:rPr>
        <w:t xml:space="preserve">branku, </w:t>
      </w:r>
      <w:proofErr w:type="spellStart"/>
      <w:r>
        <w:rPr>
          <w:rFonts w:eastAsia="Calibri" w:cs="Arial"/>
        </w:rPr>
        <w:t>Abloy</w:t>
      </w:r>
      <w:proofErr w:type="spellEnd"/>
      <w:r>
        <w:rPr>
          <w:rFonts w:eastAsia="Calibri" w:cs="Arial"/>
        </w:rPr>
        <w:t xml:space="preserve"> atp.,</w:t>
      </w:r>
    </w:p>
    <w:p w14:paraId="2CBE0042" w14:textId="77777777" w:rsidR="00290298" w:rsidRDefault="00FD2D52">
      <w:pPr>
        <w:pStyle w:val="Odstavecseseznamem"/>
        <w:numPr>
          <w:ilvl w:val="0"/>
          <w:numId w:val="30"/>
        </w:numPr>
        <w:spacing w:before="0"/>
        <w:ind w:left="709" w:hanging="284"/>
      </w:pPr>
      <w:r>
        <w:rPr>
          <w:rFonts w:eastAsia="Calibri" w:cs="Arial"/>
        </w:rPr>
        <w:t xml:space="preserve">kabelovou trasu mezi </w:t>
      </w:r>
      <w:proofErr w:type="spellStart"/>
      <w:r>
        <w:rPr>
          <w:rFonts w:eastAsia="Calibri" w:cs="Arial"/>
        </w:rPr>
        <w:t>outdoor</w:t>
      </w:r>
      <w:proofErr w:type="spellEnd"/>
      <w:r>
        <w:rPr>
          <w:rFonts w:eastAsia="Calibri" w:cs="Arial"/>
        </w:rPr>
        <w:t xml:space="preserve"> kabinetem a věží,</w:t>
      </w:r>
    </w:p>
    <w:p w14:paraId="101CAB9C" w14:textId="77777777" w:rsidR="00290298" w:rsidRDefault="00FD2D52">
      <w:pPr>
        <w:pStyle w:val="Odstavecseseznamem"/>
        <w:numPr>
          <w:ilvl w:val="0"/>
          <w:numId w:val="30"/>
        </w:numPr>
        <w:spacing w:before="0"/>
        <w:ind w:left="709" w:hanging="284"/>
      </w:pPr>
      <w:r>
        <w:rPr>
          <w:rFonts w:eastAsia="Calibri" w:cs="Arial"/>
        </w:rPr>
        <w:t>dvě plošiny, tj. okruží a počet výložníků na x-div antény/MW antény – horní plošina pro 13 m², dolní plošina pro 5 m² antén a RRU,</w:t>
      </w:r>
    </w:p>
    <w:p w14:paraId="36F04C06" w14:textId="77777777" w:rsidR="00290298" w:rsidRDefault="00FD2D52">
      <w:pPr>
        <w:pStyle w:val="Odstavecseseznamem"/>
        <w:numPr>
          <w:ilvl w:val="0"/>
          <w:numId w:val="30"/>
        </w:numPr>
        <w:spacing w:before="0"/>
        <w:ind w:left="709" w:hanging="284"/>
      </w:pPr>
      <w:proofErr w:type="spellStart"/>
      <w:r>
        <w:rPr>
          <w:rFonts w:eastAsia="Calibri" w:cs="Arial"/>
        </w:rPr>
        <w:t>outdoor</w:t>
      </w:r>
      <w:proofErr w:type="spellEnd"/>
      <w:r>
        <w:rPr>
          <w:rFonts w:eastAsia="Calibri" w:cs="Arial"/>
        </w:rPr>
        <w:t xml:space="preserve"> kabinet EM 9 box plus 9 kusů 2KW </w:t>
      </w:r>
      <w:proofErr w:type="spellStart"/>
      <w:r>
        <w:rPr>
          <w:rFonts w:eastAsia="Calibri" w:cs="Arial"/>
        </w:rPr>
        <w:t>rectifiers</w:t>
      </w:r>
      <w:proofErr w:type="spellEnd"/>
      <w:r>
        <w:rPr>
          <w:rFonts w:eastAsia="Calibri" w:cs="Arial"/>
        </w:rPr>
        <w:t>,</w:t>
      </w:r>
    </w:p>
    <w:p w14:paraId="3BA15F8A" w14:textId="77777777" w:rsidR="00290298" w:rsidRDefault="00FD2D52">
      <w:pPr>
        <w:pStyle w:val="Odstavecseseznamem"/>
        <w:numPr>
          <w:ilvl w:val="0"/>
          <w:numId w:val="30"/>
        </w:numPr>
        <w:spacing w:before="0"/>
        <w:ind w:left="709" w:hanging="284"/>
      </w:pPr>
      <w:r>
        <w:rPr>
          <w:rFonts w:eastAsia="Calibri" w:cs="Arial"/>
        </w:rPr>
        <w:t>jistič 32 A (přípojka 50 A),</w:t>
      </w:r>
    </w:p>
    <w:p w14:paraId="38DB1769" w14:textId="77777777" w:rsidR="00290298" w:rsidRDefault="00FD2D52">
      <w:pPr>
        <w:pStyle w:val="Odstavecseseznamem"/>
        <w:numPr>
          <w:ilvl w:val="0"/>
          <w:numId w:val="30"/>
        </w:numPr>
        <w:spacing w:before="0"/>
        <w:ind w:left="709" w:hanging="284"/>
      </w:pPr>
      <w:r>
        <w:rPr>
          <w:rFonts w:eastAsia="Calibri" w:cs="Arial"/>
        </w:rPr>
        <w:t>tři (3) HDPE 32/8,</w:t>
      </w:r>
    </w:p>
    <w:p w14:paraId="481DEEA9" w14:textId="77777777" w:rsidR="00290298" w:rsidRDefault="00FD2D52">
      <w:pPr>
        <w:pStyle w:val="Odstavecseseznamem"/>
        <w:numPr>
          <w:ilvl w:val="0"/>
          <w:numId w:val="30"/>
        </w:numPr>
        <w:spacing w:before="0"/>
        <w:ind w:left="709" w:hanging="284"/>
      </w:pPr>
      <w:r>
        <w:rPr>
          <w:rFonts w:eastAsia="Calibri" w:cs="Arial"/>
        </w:rPr>
        <w:lastRenderedPageBreak/>
        <w:t xml:space="preserve">větrovou oblast 27,5m/s (III) - </w:t>
      </w:r>
      <w:proofErr w:type="spellStart"/>
      <w:r>
        <w:rPr>
          <w:rFonts w:eastAsia="Calibri" w:cs="Arial"/>
        </w:rPr>
        <w:t>Rdt</w:t>
      </w:r>
      <w:proofErr w:type="spellEnd"/>
      <w:r>
        <w:rPr>
          <w:rFonts w:eastAsia="Calibri" w:cs="Arial"/>
        </w:rPr>
        <w:t xml:space="preserve"> minimálně 150kPa,</w:t>
      </w:r>
    </w:p>
    <w:p w14:paraId="3F59A93A" w14:textId="77777777" w:rsidR="00290298" w:rsidRDefault="00FD2D52">
      <w:pPr>
        <w:pStyle w:val="Odstavecseseznamem"/>
        <w:numPr>
          <w:ilvl w:val="0"/>
          <w:numId w:val="30"/>
        </w:numPr>
        <w:spacing w:before="0"/>
        <w:ind w:left="709" w:hanging="284"/>
      </w:pPr>
      <w:r>
        <w:rPr>
          <w:rFonts w:eastAsia="Calibri" w:cs="Arial"/>
        </w:rPr>
        <w:t> fotovoltaické systémy (ostrovní systém).</w:t>
      </w:r>
    </w:p>
    <w:p w14:paraId="6DBDFC1F" w14:textId="77777777" w:rsidR="00290298" w:rsidRDefault="00290298">
      <w:pPr>
        <w:jc w:val="both"/>
        <w:rPr>
          <w:rFonts w:cs="Calibri"/>
        </w:rPr>
      </w:pPr>
    </w:p>
    <w:p w14:paraId="2C7E1A3D" w14:textId="77777777" w:rsidR="00290298" w:rsidRDefault="00FD2D52">
      <w:pPr>
        <w:pStyle w:val="Style1"/>
        <w:numPr>
          <w:ilvl w:val="0"/>
          <w:numId w:val="23"/>
        </w:numPr>
        <w:ind w:left="425" w:hanging="425"/>
      </w:pPr>
      <w:r>
        <w:rPr>
          <w:rFonts w:cs="Calibri"/>
          <w:szCs w:val="20"/>
        </w:rPr>
        <w:t>Výše uvedené uznatelné náklady spojené s vybudováním pasivní infrastruktury do modelu vstupují po snížení o vyplacenou dotaci.</w:t>
      </w:r>
    </w:p>
    <w:p w14:paraId="7CC15C11" w14:textId="77777777" w:rsidR="00290298" w:rsidRDefault="00FD2D52">
      <w:pPr>
        <w:pStyle w:val="Style1"/>
        <w:numPr>
          <w:ilvl w:val="0"/>
          <w:numId w:val="23"/>
        </w:numPr>
        <w:ind w:left="425" w:hanging="425"/>
      </w:pPr>
      <w:r>
        <w:rPr>
          <w:rFonts w:cs="Calibri"/>
          <w:szCs w:val="20"/>
        </w:rPr>
        <w:t xml:space="preserve">Dalším vstupním </w:t>
      </w:r>
      <w:r>
        <w:rPr>
          <w:rFonts w:cs="Calibri"/>
          <w:bCs/>
          <w:szCs w:val="20"/>
        </w:rPr>
        <w:t>parametrem</w:t>
      </w:r>
      <w:r>
        <w:rPr>
          <w:rFonts w:cs="Calibri"/>
          <w:szCs w:val="20"/>
        </w:rPr>
        <w:t xml:space="preserve"> jsou opodstatněné a účelně vynaložené </w:t>
      </w:r>
      <w:r>
        <w:rPr>
          <w:rFonts w:cs="Calibri"/>
          <w:b/>
          <w:szCs w:val="20"/>
        </w:rPr>
        <w:t>provozní náklady</w:t>
      </w:r>
      <w:r>
        <w:rPr>
          <w:rFonts w:cs="Calibri"/>
          <w:szCs w:val="20"/>
        </w:rPr>
        <w:t xml:space="preserve"> spojené se samotným provozováním a údržbou pasivní infrastruktury a to zejména:</w:t>
      </w:r>
    </w:p>
    <w:p w14:paraId="20F5E413" w14:textId="77777777" w:rsidR="00290298" w:rsidRDefault="00290298">
      <w:pPr>
        <w:pStyle w:val="Style1"/>
        <w:numPr>
          <w:ilvl w:val="0"/>
          <w:numId w:val="0"/>
        </w:numPr>
        <w:ind w:left="1068" w:hanging="360"/>
      </w:pPr>
    </w:p>
    <w:tbl>
      <w:tblPr>
        <w:tblW w:w="9213" w:type="dxa"/>
        <w:tblInd w:w="416" w:type="dxa"/>
        <w:tblCellMar>
          <w:left w:w="10" w:type="dxa"/>
          <w:right w:w="10" w:type="dxa"/>
        </w:tblCellMar>
        <w:tblLook w:val="0000" w:firstRow="0" w:lastRow="0" w:firstColumn="0" w:lastColumn="0" w:noHBand="0" w:noVBand="0"/>
      </w:tblPr>
      <w:tblGrid>
        <w:gridCol w:w="2409"/>
        <w:gridCol w:w="1275"/>
        <w:gridCol w:w="5529"/>
      </w:tblGrid>
      <w:tr w:rsidR="00290298" w14:paraId="506F1FE4" w14:textId="77777777">
        <w:trPr>
          <w:trHeight w:val="315"/>
        </w:trPr>
        <w:tc>
          <w:tcPr>
            <w:tcW w:w="24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3B75F6" w14:textId="77777777" w:rsidR="00290298" w:rsidRDefault="00FD2D52">
            <w:pPr>
              <w:keepNext/>
              <w:keepLines/>
              <w:jc w:val="both"/>
              <w:rPr>
                <w:rFonts w:cs="Calibri"/>
                <w:b/>
                <w:bCs/>
                <w:sz w:val="20"/>
              </w:rPr>
            </w:pPr>
            <w:r>
              <w:rPr>
                <w:rFonts w:cs="Calibri"/>
                <w:b/>
                <w:bCs/>
                <w:sz w:val="20"/>
              </w:rPr>
              <w:t>Provozní náklady</w:t>
            </w:r>
          </w:p>
        </w:tc>
        <w:tc>
          <w:tcPr>
            <w:tcW w:w="1275"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82915AA" w14:textId="77777777" w:rsidR="00290298" w:rsidRDefault="00FD2D52">
            <w:pPr>
              <w:keepNext/>
              <w:keepLines/>
              <w:jc w:val="center"/>
              <w:rPr>
                <w:rFonts w:cs="Calibri"/>
                <w:b/>
                <w:bCs/>
                <w:sz w:val="20"/>
              </w:rPr>
            </w:pPr>
            <w:r>
              <w:rPr>
                <w:rFonts w:cs="Calibri"/>
                <w:b/>
                <w:bCs/>
                <w:sz w:val="20"/>
              </w:rPr>
              <w:t>Kč za rok*</w:t>
            </w:r>
          </w:p>
        </w:tc>
        <w:tc>
          <w:tcPr>
            <w:tcW w:w="5529"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B30F68B" w14:textId="77777777" w:rsidR="00290298" w:rsidRDefault="00FD2D52">
            <w:pPr>
              <w:keepNext/>
              <w:keepLines/>
              <w:jc w:val="center"/>
              <w:rPr>
                <w:rFonts w:cs="Calibri"/>
                <w:b/>
                <w:bCs/>
                <w:sz w:val="20"/>
              </w:rPr>
            </w:pPr>
            <w:r>
              <w:rPr>
                <w:rFonts w:cs="Calibri"/>
                <w:b/>
                <w:bCs/>
                <w:sz w:val="20"/>
              </w:rPr>
              <w:t>Poznámka</w:t>
            </w:r>
          </w:p>
        </w:tc>
      </w:tr>
      <w:tr w:rsidR="00290298" w14:paraId="00AF8E39" w14:textId="77777777">
        <w:trPr>
          <w:trHeight w:val="315"/>
        </w:trPr>
        <w:tc>
          <w:tcPr>
            <w:tcW w:w="24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2274F29" w14:textId="77777777" w:rsidR="00290298" w:rsidRDefault="00FD2D52">
            <w:pPr>
              <w:keepNext/>
              <w:keepLines/>
              <w:rPr>
                <w:rFonts w:cs="Calibri"/>
                <w:sz w:val="20"/>
              </w:rPr>
            </w:pPr>
            <w:r>
              <w:rPr>
                <w:rFonts w:cs="Calibri"/>
                <w:sz w:val="20"/>
              </w:rPr>
              <w:t>Nájem</w:t>
            </w:r>
          </w:p>
        </w:tc>
        <w:tc>
          <w:tcPr>
            <w:tcW w:w="127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914AFDC" w14:textId="77777777" w:rsidR="00290298" w:rsidRDefault="00FD2D52">
            <w:pPr>
              <w:keepNext/>
              <w:keepLines/>
              <w:jc w:val="center"/>
              <w:rPr>
                <w:rFonts w:cs="Calibri"/>
                <w:sz w:val="20"/>
              </w:rPr>
            </w:pPr>
            <w:r>
              <w:rPr>
                <w:rFonts w:cs="Calibri"/>
                <w:sz w:val="20"/>
              </w:rPr>
              <w:t>0,- Kč</w:t>
            </w:r>
          </w:p>
        </w:tc>
        <w:tc>
          <w:tcPr>
            <w:tcW w:w="552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9AB6E34" w14:textId="77777777" w:rsidR="00290298" w:rsidRDefault="00FD2D52">
            <w:pPr>
              <w:keepNext/>
              <w:keepLines/>
              <w:jc w:val="both"/>
              <w:rPr>
                <w:rFonts w:cs="Arial"/>
                <w:sz w:val="20"/>
              </w:rPr>
            </w:pPr>
            <w:r>
              <w:rPr>
                <w:rFonts w:cs="Arial"/>
                <w:sz w:val="20"/>
              </w:rPr>
              <w:t>Vzhledem k předpokládanému zřízení služebnosti, což je uznatelný náklad a způsobilý pro financování z veřejných zdrojů, není nájem kalkulován. V případě pořízení pozemku formou nájmu či odkupu bude tento náklad promítnut do velkoobchodní nabídky ve své skutečné výši.</w:t>
            </w:r>
          </w:p>
        </w:tc>
      </w:tr>
      <w:tr w:rsidR="00290298" w14:paraId="429E2BF5" w14:textId="77777777">
        <w:trPr>
          <w:trHeight w:val="315"/>
        </w:trPr>
        <w:tc>
          <w:tcPr>
            <w:tcW w:w="24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9EFBF33" w14:textId="77777777" w:rsidR="00290298" w:rsidRDefault="00FD2D52">
            <w:pPr>
              <w:keepNext/>
              <w:keepLines/>
              <w:rPr>
                <w:rFonts w:cs="Calibri"/>
                <w:sz w:val="20"/>
              </w:rPr>
            </w:pPr>
            <w:r>
              <w:rPr>
                <w:rFonts w:cs="Calibri"/>
                <w:sz w:val="20"/>
              </w:rPr>
              <w:t>Zákonné revize, řádná údržba</w:t>
            </w:r>
          </w:p>
        </w:tc>
        <w:tc>
          <w:tcPr>
            <w:tcW w:w="127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8704F6" w14:textId="77777777" w:rsidR="00290298" w:rsidRDefault="00FD2D52">
            <w:pPr>
              <w:keepNext/>
              <w:keepLines/>
              <w:jc w:val="center"/>
              <w:rPr>
                <w:rFonts w:cs="Calibri"/>
                <w:sz w:val="20"/>
              </w:rPr>
            </w:pPr>
            <w:proofErr w:type="gramStart"/>
            <w:r>
              <w:rPr>
                <w:rFonts w:cs="Calibri"/>
                <w:sz w:val="20"/>
              </w:rPr>
              <w:t>17.800,-</w:t>
            </w:r>
            <w:proofErr w:type="gramEnd"/>
            <w:r>
              <w:rPr>
                <w:rFonts w:cs="Calibri"/>
                <w:sz w:val="20"/>
              </w:rPr>
              <w:t xml:space="preserve">  Kč</w:t>
            </w:r>
          </w:p>
        </w:tc>
        <w:tc>
          <w:tcPr>
            <w:tcW w:w="552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FD612DB" w14:textId="77777777" w:rsidR="00290298" w:rsidRDefault="00FD2D52">
            <w:pPr>
              <w:keepNext/>
              <w:keepLines/>
              <w:jc w:val="both"/>
              <w:rPr>
                <w:rFonts w:cs="Calibri"/>
                <w:sz w:val="20"/>
              </w:rPr>
            </w:pPr>
            <w:r>
              <w:rPr>
                <w:rFonts w:cs="Calibri"/>
                <w:sz w:val="20"/>
              </w:rPr>
              <w:t xml:space="preserve">paušální částka </w:t>
            </w:r>
          </w:p>
        </w:tc>
      </w:tr>
      <w:tr w:rsidR="00290298" w14:paraId="578FF0A0" w14:textId="77777777">
        <w:trPr>
          <w:trHeight w:val="315"/>
        </w:trPr>
        <w:tc>
          <w:tcPr>
            <w:tcW w:w="24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9092C05" w14:textId="77777777" w:rsidR="00290298" w:rsidRDefault="00FD2D52">
            <w:pPr>
              <w:keepNext/>
              <w:keepLines/>
              <w:rPr>
                <w:rFonts w:cs="Calibri"/>
                <w:sz w:val="20"/>
              </w:rPr>
            </w:pPr>
            <w:r>
              <w:rPr>
                <w:rFonts w:cs="Calibri"/>
                <w:sz w:val="20"/>
              </w:rPr>
              <w:t>Drobné opravy, pravidelné větší opravy/výměny HW</w:t>
            </w:r>
          </w:p>
        </w:tc>
        <w:tc>
          <w:tcPr>
            <w:tcW w:w="127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FEAA9BC" w14:textId="77777777" w:rsidR="00290298" w:rsidRDefault="00FD2D52">
            <w:pPr>
              <w:keepNext/>
              <w:keepLines/>
              <w:jc w:val="center"/>
              <w:rPr>
                <w:rFonts w:cs="Calibri"/>
                <w:sz w:val="20"/>
              </w:rPr>
            </w:pPr>
            <w:proofErr w:type="gramStart"/>
            <w:r>
              <w:rPr>
                <w:rFonts w:cs="Calibri"/>
                <w:sz w:val="20"/>
              </w:rPr>
              <w:t>34.200,-</w:t>
            </w:r>
            <w:proofErr w:type="gramEnd"/>
            <w:r>
              <w:rPr>
                <w:rFonts w:cs="Calibri"/>
                <w:sz w:val="20"/>
              </w:rPr>
              <w:t xml:space="preserve"> Kč</w:t>
            </w:r>
          </w:p>
        </w:tc>
        <w:tc>
          <w:tcPr>
            <w:tcW w:w="552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87E7D0B" w14:textId="77777777" w:rsidR="00290298" w:rsidRDefault="00FD2D52">
            <w:pPr>
              <w:keepNext/>
              <w:keepLines/>
              <w:jc w:val="both"/>
              <w:rPr>
                <w:rFonts w:cs="Calibri"/>
                <w:sz w:val="20"/>
              </w:rPr>
            </w:pPr>
            <w:r>
              <w:rPr>
                <w:rFonts w:cs="Calibri"/>
                <w:sz w:val="20"/>
              </w:rPr>
              <w:t xml:space="preserve">paušální částka </w:t>
            </w:r>
          </w:p>
        </w:tc>
      </w:tr>
      <w:tr w:rsidR="00290298" w14:paraId="4A96FDC9" w14:textId="77777777">
        <w:trPr>
          <w:trHeight w:val="315"/>
        </w:trPr>
        <w:tc>
          <w:tcPr>
            <w:tcW w:w="24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80F1DF7" w14:textId="77777777" w:rsidR="00290298" w:rsidRDefault="00FD2D52">
            <w:pPr>
              <w:keepNext/>
              <w:keepLines/>
              <w:rPr>
                <w:rFonts w:cs="Calibri"/>
                <w:sz w:val="20"/>
              </w:rPr>
            </w:pPr>
            <w:r>
              <w:rPr>
                <w:rFonts w:cs="Calibri"/>
                <w:sz w:val="20"/>
              </w:rPr>
              <w:t>Režijní náklady</w:t>
            </w:r>
          </w:p>
        </w:tc>
        <w:tc>
          <w:tcPr>
            <w:tcW w:w="127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6FD5F88" w14:textId="77777777" w:rsidR="00290298" w:rsidRDefault="00FD2D52">
            <w:pPr>
              <w:keepNext/>
              <w:keepLines/>
              <w:jc w:val="center"/>
              <w:rPr>
                <w:rFonts w:cs="Calibri"/>
                <w:sz w:val="20"/>
              </w:rPr>
            </w:pPr>
            <w:proofErr w:type="gramStart"/>
            <w:r>
              <w:rPr>
                <w:rFonts w:cs="Calibri"/>
                <w:sz w:val="20"/>
              </w:rPr>
              <w:t>2.600,-</w:t>
            </w:r>
            <w:proofErr w:type="gramEnd"/>
            <w:r>
              <w:rPr>
                <w:rFonts w:cs="Calibri"/>
                <w:sz w:val="20"/>
              </w:rPr>
              <w:t xml:space="preserve"> Kč</w:t>
            </w:r>
          </w:p>
        </w:tc>
        <w:tc>
          <w:tcPr>
            <w:tcW w:w="552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1468CDE" w14:textId="77777777" w:rsidR="00290298" w:rsidRDefault="00FD2D52">
            <w:pPr>
              <w:keepNext/>
              <w:keepLines/>
              <w:jc w:val="both"/>
              <w:rPr>
                <w:rFonts w:cs="Calibri"/>
                <w:sz w:val="20"/>
              </w:rPr>
            </w:pPr>
            <w:r>
              <w:rPr>
                <w:rFonts w:cs="Calibri"/>
                <w:sz w:val="20"/>
              </w:rPr>
              <w:t>Obvyklá režie 5 % k celkovým provozním nákladům</w:t>
            </w:r>
          </w:p>
        </w:tc>
      </w:tr>
    </w:tbl>
    <w:p w14:paraId="1D92D965" w14:textId="77777777" w:rsidR="00290298" w:rsidRDefault="00FD2D52">
      <w:pPr>
        <w:pStyle w:val="Style1"/>
        <w:numPr>
          <w:ilvl w:val="0"/>
          <w:numId w:val="0"/>
        </w:numPr>
        <w:ind w:left="709" w:hanging="284"/>
      </w:pPr>
      <w:r>
        <w:t>*</w:t>
      </w:r>
      <w:r>
        <w:tab/>
      </w:r>
      <w:r>
        <w:rPr>
          <w:i/>
        </w:rPr>
        <w:t xml:space="preserve">Tyto provozní náklady jsou průměrem poskytnutých údajů od největších správců pasivní infrastruktury mobilních sítí v České republice, a to jmenovitě T-Mobile Czech Republic a.s., </w:t>
      </w:r>
      <w:proofErr w:type="spellStart"/>
      <w:r>
        <w:rPr>
          <w:i/>
        </w:rPr>
        <w:t>Vantage</w:t>
      </w:r>
      <w:proofErr w:type="spellEnd"/>
      <w:r>
        <w:rPr>
          <w:i/>
        </w:rPr>
        <w:t xml:space="preserve"> </w:t>
      </w:r>
      <w:proofErr w:type="spellStart"/>
      <w:r>
        <w:rPr>
          <w:i/>
        </w:rPr>
        <w:t>Towers</w:t>
      </w:r>
      <w:proofErr w:type="spellEnd"/>
      <w:r>
        <w:rPr>
          <w:i/>
        </w:rPr>
        <w:t xml:space="preserve"> s.r.o.  a CETIN a.s. pro tento typ lokalit.</w:t>
      </w:r>
    </w:p>
    <w:p w14:paraId="25AAB536" w14:textId="77777777" w:rsidR="00290298" w:rsidRDefault="00FD2D52">
      <w:pPr>
        <w:pStyle w:val="Style1"/>
        <w:numPr>
          <w:ilvl w:val="0"/>
          <w:numId w:val="23"/>
        </w:numPr>
        <w:ind w:left="425" w:hanging="425"/>
        <w:rPr>
          <w:rFonts w:cs="Calibri"/>
        </w:rPr>
      </w:pPr>
      <w:r>
        <w:rPr>
          <w:rFonts w:cs="Calibri"/>
        </w:rPr>
        <w:t>Provozní náklady nejsou dotačně uznatelné a vstupují do modelu v plné výši.</w:t>
      </w:r>
    </w:p>
    <w:p w14:paraId="20F690F7" w14:textId="77777777" w:rsidR="00290298" w:rsidRDefault="00FD2D52">
      <w:pPr>
        <w:pStyle w:val="Style1"/>
        <w:numPr>
          <w:ilvl w:val="0"/>
          <w:numId w:val="23"/>
        </w:numPr>
        <w:ind w:left="425" w:hanging="425"/>
      </w:pPr>
      <w:r>
        <w:rPr>
          <w:rFonts w:cs="Calibri"/>
          <w:szCs w:val="20"/>
        </w:rPr>
        <w:t>Příjemce dotace má povinnost do 3 měsíců od vydání Rozhodnutí o poskytnutí dotace oznámit zájemcům o využití BTS (tzn. oprávněným zájemcům), zda bude pozemek pro BTS zajištěn formou nájmu</w:t>
      </w:r>
      <w:r>
        <w:t xml:space="preserve"> </w:t>
      </w:r>
      <w:r>
        <w:rPr>
          <w:rFonts w:cs="Calibri"/>
          <w:szCs w:val="20"/>
        </w:rPr>
        <w:t xml:space="preserve">a jaké navýšení roční platby za BTS očekává. </w:t>
      </w:r>
    </w:p>
    <w:p w14:paraId="2E241DFC" w14:textId="77777777" w:rsidR="00290298" w:rsidRDefault="00FD2D52" w:rsidP="00AD7F9E">
      <w:pPr>
        <w:pStyle w:val="Style1"/>
        <w:numPr>
          <w:ilvl w:val="0"/>
          <w:numId w:val="0"/>
        </w:numPr>
        <w:ind w:left="426" w:hanging="1"/>
      </w:pPr>
      <w:r>
        <w:rPr>
          <w:rFonts w:cs="Calibri"/>
          <w:szCs w:val="20"/>
        </w:rPr>
        <w:t xml:space="preserve">Zájemci budou mít časovou lhůtu, ve které bude možné od závazku dotovanou BTS využít odstoupit z důvodů navýšení univerzální ceny stanovené modelem. V návaznosti na to bude mít možnost bez sankce projekt ukončit i </w:t>
      </w:r>
      <w:r w:rsidR="002B5A9D">
        <w:rPr>
          <w:rFonts w:cs="Calibri"/>
          <w:szCs w:val="20"/>
        </w:rPr>
        <w:t>P</w:t>
      </w:r>
      <w:r>
        <w:rPr>
          <w:rFonts w:cs="Calibri"/>
          <w:szCs w:val="20"/>
        </w:rPr>
        <w:t>říjemce dotace.</w:t>
      </w:r>
    </w:p>
    <w:p w14:paraId="3A9F269D" w14:textId="77777777" w:rsidR="00290298" w:rsidRDefault="00FD2D52">
      <w:pPr>
        <w:pStyle w:val="Style1"/>
        <w:numPr>
          <w:ilvl w:val="0"/>
          <w:numId w:val="23"/>
        </w:numPr>
        <w:ind w:left="425" w:hanging="425"/>
      </w:pPr>
      <w:r>
        <w:t xml:space="preserve">Celý model a jeho výpočtová logika je znázorněna </w:t>
      </w:r>
      <w:proofErr w:type="gramStart"/>
      <w:r>
        <w:t>v  excelovém</w:t>
      </w:r>
      <w:proofErr w:type="gramEnd"/>
      <w:r>
        <w:t xml:space="preserve"> souboru</w:t>
      </w:r>
      <w:r w:rsidR="00F63439">
        <w:t>, který byl s mobilními operátory projednán</w:t>
      </w:r>
      <w:r>
        <w:t xml:space="preserve">. </w:t>
      </w:r>
    </w:p>
    <w:p w14:paraId="06991541" w14:textId="77777777" w:rsidR="00290298" w:rsidRDefault="00290298">
      <w:pPr>
        <w:pStyle w:val="Style1"/>
        <w:numPr>
          <w:ilvl w:val="0"/>
          <w:numId w:val="0"/>
        </w:numPr>
        <w:ind w:left="1068" w:hanging="360"/>
      </w:pPr>
    </w:p>
    <w:p w14:paraId="39D10547" w14:textId="77777777" w:rsidR="00290298" w:rsidRDefault="00FD2D52">
      <w:pPr>
        <w:spacing w:after="76"/>
        <w:ind w:left="425" w:hanging="425"/>
      </w:pPr>
      <w:r>
        <w:rPr>
          <w:sz w:val="24"/>
          <w:szCs w:val="24"/>
        </w:rPr>
        <w:t>6.2</w:t>
      </w:r>
      <w:r>
        <w:rPr>
          <w:color w:val="000000"/>
          <w:sz w:val="32"/>
          <w:szCs w:val="32"/>
        </w:rPr>
        <w:tab/>
      </w:r>
      <w:r>
        <w:rPr>
          <w:color w:val="000000"/>
          <w:sz w:val="24"/>
          <w:szCs w:val="24"/>
          <w:u w:val="single"/>
        </w:rPr>
        <w:t xml:space="preserve">Aktivní přístup </w:t>
      </w:r>
      <w:r w:rsidR="002B5A9D">
        <w:rPr>
          <w:color w:val="000000"/>
          <w:sz w:val="24"/>
          <w:szCs w:val="24"/>
          <w:u w:val="single"/>
        </w:rPr>
        <w:t>k</w:t>
      </w:r>
      <w:r w:rsidR="00BD7D33">
        <w:rPr>
          <w:color w:val="000000"/>
          <w:sz w:val="24"/>
          <w:szCs w:val="24"/>
          <w:u w:val="single"/>
        </w:rPr>
        <w:t> přípojné části sítě</w:t>
      </w:r>
    </w:p>
    <w:p w14:paraId="22C44425" w14:textId="77777777" w:rsidR="00290298" w:rsidRDefault="00FD2D52">
      <w:pPr>
        <w:pStyle w:val="Odstavecseseznamem"/>
        <w:numPr>
          <w:ilvl w:val="0"/>
          <w:numId w:val="23"/>
        </w:numPr>
        <w:ind w:left="426" w:hanging="426"/>
      </w:pPr>
      <w:r>
        <w:rPr>
          <w:rFonts w:eastAsia="Yu Mincho" w:cs="Arial"/>
        </w:rPr>
        <w:t>Příjemce dotace stanoví velkoobchodní jednorázové a měsíční ceny za službu optického datového okruhu na základě aritmetického průměru velkoobchodních cen u poskytovatelů</w:t>
      </w:r>
      <w:r w:rsidRPr="00F12FD5">
        <w:rPr>
          <w:rFonts w:eastAsia="Yu Mincho" w:cs="Arial"/>
          <w:vertAlign w:val="superscript"/>
        </w:rPr>
        <w:footnoteReference w:id="4"/>
      </w:r>
      <w:r>
        <w:rPr>
          <w:rFonts w:eastAsia="Yu Mincho" w:cs="Arial"/>
        </w:rPr>
        <w:t xml:space="preserve"> služeb oprávněných k žádosti o využívaní služeb, případně členů jejich podnikatelského uskupení, jež jsou předmětem této dotační výzvy, a to za službu datového okruhu s rozhraním ethernet a rychlostí alespoň 1 </w:t>
      </w:r>
      <w:proofErr w:type="spellStart"/>
      <w:r>
        <w:rPr>
          <w:rFonts w:eastAsia="Yu Mincho" w:cs="Arial"/>
        </w:rPr>
        <w:t>Gbit</w:t>
      </w:r>
      <w:proofErr w:type="spellEnd"/>
      <w:r>
        <w:rPr>
          <w:rFonts w:eastAsia="Yu Mincho" w:cs="Arial"/>
        </w:rPr>
        <w:t>/s poskytovaného na vrstvě L2 nebo L3 při SLA pro dostupnost služby nejméně 99,5 %/měsíc. Jednorázové i měsíční ceny budou v anonymizované podobě zveřejněny na stránkách Poskytovatele dotace.</w:t>
      </w:r>
    </w:p>
    <w:p w14:paraId="5E7700A1" w14:textId="77777777" w:rsidR="00290298" w:rsidRDefault="00FD2D52">
      <w:pPr>
        <w:pStyle w:val="Odstavecseseznamem"/>
        <w:ind w:left="426"/>
        <w:rPr>
          <w:rFonts w:eastAsia="Yu Mincho" w:cs="Arial"/>
        </w:rPr>
      </w:pPr>
      <w:r>
        <w:rPr>
          <w:rFonts w:eastAsia="Yu Mincho" w:cs="Arial"/>
        </w:rPr>
        <w:t xml:space="preserve">V případě poskytnutí aktivního přístupu </w:t>
      </w:r>
      <w:r w:rsidR="00BD7D33">
        <w:t>k přípojné části sítě</w:t>
      </w:r>
      <w:r>
        <w:rPr>
          <w:rFonts w:eastAsia="Yu Mincho" w:cs="Arial"/>
        </w:rPr>
        <w:t xml:space="preserve"> s využitím rádiových mikrovlnných zařízení nebo jiných služeb aktivního přístupu postupuje Příjemce dotace </w:t>
      </w:r>
      <w:r w:rsidR="00EE0870">
        <w:rPr>
          <w:rFonts w:eastAsia="Yu Mincho" w:cs="Arial"/>
        </w:rPr>
        <w:t xml:space="preserve">při stanovení velkoobchodní ceny za službu </w:t>
      </w:r>
      <w:r>
        <w:rPr>
          <w:rFonts w:eastAsia="Yu Mincho" w:cs="Arial"/>
        </w:rPr>
        <w:t>obdobně.</w:t>
      </w:r>
    </w:p>
    <w:p w14:paraId="165FFB61" w14:textId="77777777" w:rsidR="00330943" w:rsidRDefault="00330943">
      <w:pPr>
        <w:pStyle w:val="Odstavecseseznamem"/>
        <w:ind w:left="426"/>
        <w:rPr>
          <w:rFonts w:eastAsia="Yu Mincho" w:cs="Arial"/>
        </w:rPr>
      </w:pPr>
    </w:p>
    <w:p w14:paraId="7B3B7860" w14:textId="77777777" w:rsidR="00330943" w:rsidRDefault="00330943">
      <w:pPr>
        <w:pStyle w:val="Odstavecseseznamem"/>
        <w:ind w:left="426"/>
        <w:rPr>
          <w:rFonts w:eastAsia="Yu Mincho" w:cs="Arial"/>
        </w:rPr>
      </w:pPr>
    </w:p>
    <w:p w14:paraId="3385E74C" w14:textId="77777777" w:rsidR="00330943" w:rsidRPr="00D6270D" w:rsidRDefault="00330943" w:rsidP="00F12FD5">
      <w:pPr>
        <w:rPr>
          <w:rFonts w:eastAsia="Yu Mincho" w:cs="Arial"/>
        </w:rPr>
      </w:pPr>
    </w:p>
    <w:p w14:paraId="33072228" w14:textId="77777777" w:rsidR="00330943" w:rsidRDefault="00330943" w:rsidP="00330943">
      <w:pPr>
        <w:spacing w:after="76"/>
        <w:ind w:left="425" w:hanging="425"/>
        <w:rPr>
          <w:color w:val="000000"/>
          <w:sz w:val="24"/>
          <w:szCs w:val="24"/>
          <w:u w:val="single"/>
        </w:rPr>
      </w:pPr>
      <w:r w:rsidRPr="00F12FD5">
        <w:rPr>
          <w:color w:val="000000"/>
          <w:sz w:val="24"/>
          <w:szCs w:val="24"/>
        </w:rPr>
        <w:lastRenderedPageBreak/>
        <w:t xml:space="preserve">6.3 </w:t>
      </w:r>
      <w:r>
        <w:rPr>
          <w:color w:val="000000"/>
          <w:sz w:val="24"/>
          <w:szCs w:val="24"/>
          <w:u w:val="single"/>
        </w:rPr>
        <w:t>Aktivní přístup k mobilní</w:t>
      </w:r>
      <w:r w:rsidRPr="00330943">
        <w:rPr>
          <w:color w:val="000000"/>
          <w:sz w:val="24"/>
          <w:szCs w:val="24"/>
          <w:u w:val="single"/>
        </w:rPr>
        <w:t xml:space="preserve"> </w:t>
      </w:r>
      <w:r>
        <w:rPr>
          <w:color w:val="000000"/>
          <w:sz w:val="24"/>
          <w:szCs w:val="24"/>
          <w:u w:val="single"/>
        </w:rPr>
        <w:t>přístupové síti</w:t>
      </w:r>
    </w:p>
    <w:p w14:paraId="33B62050" w14:textId="77777777" w:rsidR="00330943" w:rsidRDefault="00330943" w:rsidP="00F12FD5">
      <w:pPr>
        <w:pStyle w:val="Odstavecseseznamem"/>
        <w:numPr>
          <w:ilvl w:val="0"/>
          <w:numId w:val="23"/>
        </w:numPr>
        <w:ind w:left="426" w:hanging="426"/>
        <w:rPr>
          <w:rFonts w:eastAsia="Yu Mincho" w:cs="Arial"/>
        </w:rPr>
      </w:pPr>
      <w:r w:rsidRPr="00DA236B">
        <w:rPr>
          <w:rFonts w:eastAsia="Yu Mincho" w:cs="Arial"/>
        </w:rPr>
        <w:t>Příjemce dotace stanoví velkoobchodní jednorázové a měsíční ceny za službu roamingu</w:t>
      </w:r>
      <w:r>
        <w:rPr>
          <w:rFonts w:eastAsia="Yu Mincho" w:cs="Arial"/>
        </w:rPr>
        <w:t xml:space="preserve"> či jiného způsobu aktivního přístupu k</w:t>
      </w:r>
      <w:r w:rsidR="003F279F">
        <w:rPr>
          <w:rFonts w:eastAsia="Yu Mincho" w:cs="Arial"/>
        </w:rPr>
        <w:t> mobilní přístupové síti</w:t>
      </w:r>
      <w:r w:rsidRPr="00DA236B">
        <w:rPr>
          <w:rFonts w:eastAsia="Yu Mincho" w:cs="Arial"/>
        </w:rPr>
        <w:t xml:space="preserve"> na základě nákladově orientovaných velkoobchodních cen </w:t>
      </w:r>
      <w:r w:rsidR="003F279F">
        <w:rPr>
          <w:rFonts w:eastAsia="Yu Mincho" w:cs="Arial"/>
        </w:rPr>
        <w:t>mobilního operátora</w:t>
      </w:r>
      <w:r w:rsidRPr="00DA236B">
        <w:rPr>
          <w:rFonts w:eastAsia="Yu Mincho" w:cs="Arial"/>
        </w:rPr>
        <w:t xml:space="preserve"> či jeho velkoobchodního partnera, přičemž jednotkové ceny </w:t>
      </w:r>
      <w:r>
        <w:rPr>
          <w:rFonts w:eastAsia="Yu Mincho" w:cs="Arial"/>
        </w:rPr>
        <w:t>těchto služeb</w:t>
      </w:r>
      <w:r w:rsidRPr="00DA236B">
        <w:rPr>
          <w:rFonts w:eastAsia="Yu Mincho" w:cs="Arial"/>
        </w:rPr>
        <w:t xml:space="preserve"> musí vycházet z metodiky dlouhodobých přírůstkových nákladů LRAIC+ zohledňující návratnost vloženého kapitálu dle aktuální hodnoty WACC před zdaněním, která je stanovena </w:t>
      </w:r>
      <w:r w:rsidR="003F279F">
        <w:rPr>
          <w:rFonts w:eastAsia="Yu Mincho" w:cs="Arial"/>
        </w:rPr>
        <w:t>ČT</w:t>
      </w:r>
      <w:r w:rsidRPr="00DA236B">
        <w:rPr>
          <w:rFonts w:eastAsia="Yu Mincho" w:cs="Arial"/>
        </w:rPr>
        <w:t xml:space="preserve">Ú v opatření obecné povahy č. </w:t>
      </w:r>
      <w:r w:rsidR="00FB3C2C">
        <w:t>OOP/4/10.2022-20</w:t>
      </w:r>
      <w:r w:rsidRPr="00DA236B">
        <w:rPr>
          <w:rFonts w:eastAsia="Yu Mincho" w:cs="Arial"/>
        </w:rPr>
        <w:t xml:space="preserve"> v platném znění</w:t>
      </w:r>
      <w:r w:rsidRPr="00F12FD5">
        <w:rPr>
          <w:rFonts w:eastAsia="Yu Mincho"/>
        </w:rPr>
        <w:footnoteReference w:id="5"/>
      </w:r>
      <w:r>
        <w:rPr>
          <w:rFonts w:eastAsia="Yu Mincho" w:cs="Arial"/>
        </w:rPr>
        <w:t xml:space="preserve"> a metodického</w:t>
      </w:r>
      <w:r w:rsidRPr="000B5A38">
        <w:rPr>
          <w:rFonts w:eastAsia="Yu Mincho" w:cs="Arial"/>
        </w:rPr>
        <w:t xml:space="preserve"> postup</w:t>
      </w:r>
      <w:r>
        <w:rPr>
          <w:rFonts w:eastAsia="Yu Mincho" w:cs="Arial"/>
        </w:rPr>
        <w:t>u</w:t>
      </w:r>
      <w:r w:rsidRPr="000B5A38">
        <w:rPr>
          <w:rFonts w:eastAsia="Yu Mincho" w:cs="Arial"/>
        </w:rPr>
        <w:t xml:space="preserve"> pro výpočet nákladů služeb národního roamingu a PPDR ve veřejné mobilní síti</w:t>
      </w:r>
      <w:r w:rsidRPr="00F12FD5">
        <w:rPr>
          <w:rFonts w:eastAsia="Yu Mincho"/>
        </w:rPr>
        <w:footnoteReference w:id="6"/>
      </w:r>
      <w:r w:rsidRPr="00DA236B">
        <w:rPr>
          <w:rFonts w:eastAsia="Yu Mincho" w:cs="Arial"/>
        </w:rPr>
        <w:t>.</w:t>
      </w:r>
    </w:p>
    <w:p w14:paraId="6D027759" w14:textId="77777777" w:rsidR="00290298" w:rsidRDefault="00290298">
      <w:pPr>
        <w:pStyle w:val="Style1"/>
        <w:numPr>
          <w:ilvl w:val="0"/>
          <w:numId w:val="0"/>
        </w:numPr>
        <w:ind w:left="425" w:hanging="360"/>
      </w:pPr>
    </w:p>
    <w:p w14:paraId="12A98CD1" w14:textId="77777777" w:rsidR="00290298" w:rsidRDefault="00FD2D52">
      <w:pPr>
        <w:spacing w:after="76"/>
        <w:ind w:left="425" w:hanging="425"/>
      </w:pPr>
      <w:r>
        <w:t>6.</w:t>
      </w:r>
      <w:r w:rsidR="00330943">
        <w:t>4</w:t>
      </w:r>
      <w:r>
        <w:rPr>
          <w:color w:val="000000"/>
          <w:sz w:val="24"/>
          <w:szCs w:val="24"/>
        </w:rPr>
        <w:tab/>
      </w:r>
      <w:r>
        <w:rPr>
          <w:color w:val="000000"/>
          <w:sz w:val="24"/>
          <w:szCs w:val="24"/>
          <w:u w:val="single"/>
        </w:rPr>
        <w:t>Přístup k dílčím prvkům podpořené infrastruktury nebo k prvkům nutným k efektivnímu přístupu podpořené infrastruktury</w:t>
      </w:r>
    </w:p>
    <w:p w14:paraId="0D8BEE98" w14:textId="77777777" w:rsidR="00290298" w:rsidRDefault="00FD2D52">
      <w:pPr>
        <w:pStyle w:val="Style1"/>
        <w:numPr>
          <w:ilvl w:val="0"/>
          <w:numId w:val="23"/>
        </w:numPr>
        <w:ind w:left="425" w:hanging="425"/>
      </w:pPr>
      <w:r>
        <w:t xml:space="preserve">Příjemce dotace stanoví velkoobchodní ceny </w:t>
      </w:r>
      <w:r w:rsidR="00330943">
        <w:t>za přístup</w:t>
      </w:r>
      <w:r>
        <w:t xml:space="preserve"> </w:t>
      </w:r>
      <w:r w:rsidR="00330943">
        <w:t xml:space="preserve">k </w:t>
      </w:r>
      <w:r>
        <w:t>dílčí</w:t>
      </w:r>
      <w:r w:rsidR="00330943">
        <w:t>m</w:t>
      </w:r>
      <w:r>
        <w:t xml:space="preserve"> prvk</w:t>
      </w:r>
      <w:r w:rsidR="00330943">
        <w:t>ům</w:t>
      </w:r>
      <w:r>
        <w:t xml:space="preserve"> podpořené infrastruktury nebo </w:t>
      </w:r>
      <w:r w:rsidR="00330943">
        <w:t>k</w:t>
      </w:r>
      <w:r>
        <w:t xml:space="preserve"> prvk</w:t>
      </w:r>
      <w:r w:rsidR="00330943">
        <w:t>ům</w:t>
      </w:r>
      <w:r>
        <w:t xml:space="preserve"> nutn</w:t>
      </w:r>
      <w:r w:rsidR="00330943">
        <w:t>ým</w:t>
      </w:r>
      <w:r>
        <w:t xml:space="preserve"> k efektivnímu přístupu podpořené infrastruktury jako průměrné zveřejněné velkoobchodní ceny, které převládají v jiných srovnatelných konkurenčnějších oblastech členského státu. Pokud takové ceny nebudou zveřejněné ve vypovídajícím rozsahu, bude </w:t>
      </w:r>
      <w:r w:rsidR="00330943">
        <w:t>P</w:t>
      </w:r>
      <w:r>
        <w:t>říjemce dotace poskytovat přístup za ceny na trhu obvyklé.</w:t>
      </w:r>
    </w:p>
    <w:p w14:paraId="4C4CE754" w14:textId="77777777" w:rsidR="00290298" w:rsidRDefault="00290298">
      <w:pPr>
        <w:pStyle w:val="Style1"/>
        <w:numPr>
          <w:ilvl w:val="0"/>
          <w:numId w:val="0"/>
        </w:numPr>
        <w:ind w:left="1068" w:hanging="360"/>
      </w:pPr>
    </w:p>
    <w:p w14:paraId="3D535E81" w14:textId="77777777" w:rsidR="00290298" w:rsidRDefault="00290298">
      <w:pPr>
        <w:pStyle w:val="Style1"/>
        <w:numPr>
          <w:ilvl w:val="0"/>
          <w:numId w:val="0"/>
        </w:numPr>
        <w:ind w:left="1068" w:hanging="360"/>
      </w:pPr>
    </w:p>
    <w:tbl>
      <w:tblPr>
        <w:tblW w:w="9775" w:type="dxa"/>
        <w:tblInd w:w="-147" w:type="dxa"/>
        <w:tblCellMar>
          <w:left w:w="10" w:type="dxa"/>
          <w:right w:w="10" w:type="dxa"/>
        </w:tblCellMar>
        <w:tblLook w:val="0000" w:firstRow="0" w:lastRow="0" w:firstColumn="0" w:lastColumn="0" w:noHBand="0" w:noVBand="0"/>
      </w:tblPr>
      <w:tblGrid>
        <w:gridCol w:w="9775"/>
      </w:tblGrid>
      <w:tr w:rsidR="00290298" w14:paraId="0E2BD5BC" w14:textId="77777777">
        <w:tc>
          <w:tcPr>
            <w:tcW w:w="9775" w:type="dxa"/>
            <w:shd w:val="clear" w:color="auto" w:fill="auto"/>
            <w:tcMar>
              <w:top w:w="0" w:type="dxa"/>
              <w:left w:w="108" w:type="dxa"/>
              <w:bottom w:w="0" w:type="dxa"/>
              <w:right w:w="108" w:type="dxa"/>
            </w:tcMar>
          </w:tcPr>
          <w:p w14:paraId="425D3E4D" w14:textId="77777777" w:rsidR="00290298" w:rsidRDefault="00FD2D52">
            <w:pPr>
              <w:shd w:val="clear" w:color="auto" w:fill="D9E2F3"/>
              <w:spacing w:before="120" w:after="120" w:line="276" w:lineRule="auto"/>
              <w:ind w:left="482" w:hanging="425"/>
            </w:pPr>
            <w:r>
              <w:rPr>
                <w:rFonts w:eastAsia="Calibri" w:cs="Calibri"/>
                <w:b/>
                <w:sz w:val="24"/>
              </w:rPr>
              <w:t xml:space="preserve">7. </w:t>
            </w:r>
            <w:r>
              <w:rPr>
                <w:rFonts w:eastAsia="Calibri" w:cs="Calibri"/>
                <w:b/>
                <w:sz w:val="24"/>
              </w:rPr>
              <w:tab/>
            </w:r>
            <w:r w:rsidR="007B66F2">
              <w:rPr>
                <w:color w:val="000000"/>
                <w:sz w:val="24"/>
                <w:u w:val="single"/>
              </w:rPr>
              <w:t>Podmínky využití velkoobchodní nabídky</w:t>
            </w:r>
            <w:r>
              <w:rPr>
                <w:rFonts w:eastAsia="Calibri" w:cs="Calibri"/>
                <w:b/>
                <w:sz w:val="24"/>
              </w:rPr>
              <w:t xml:space="preserve"> </w:t>
            </w:r>
          </w:p>
        </w:tc>
      </w:tr>
    </w:tbl>
    <w:p w14:paraId="42B344E5" w14:textId="77777777" w:rsidR="00290298" w:rsidRDefault="00FD2D52">
      <w:pPr>
        <w:pStyle w:val="Style1"/>
        <w:numPr>
          <w:ilvl w:val="0"/>
          <w:numId w:val="23"/>
        </w:numPr>
        <w:ind w:left="425" w:hanging="425"/>
      </w:pPr>
      <w:r>
        <w:t>Příjemce dotace musí smluvně zajistit, že Žadatel o</w:t>
      </w:r>
      <w:r>
        <w:rPr>
          <w:rFonts w:eastAsia="Calibri" w:cs="Calibri"/>
        </w:rPr>
        <w:t xml:space="preserve"> </w:t>
      </w:r>
      <w:r>
        <w:t>přístup</w:t>
      </w:r>
      <w:r>
        <w:rPr>
          <w:rFonts w:eastAsia="Calibri" w:cs="Calibri"/>
        </w:rPr>
        <w:t xml:space="preserve"> </w:t>
      </w:r>
      <w:r>
        <w:t>bude vázán stejnými pravidly pro poskytování mobilních služeb na dotované infrastruktuře jako Příjemce dotace. Tato podmínka užití velkoobchodní nabídky musí být plně a</w:t>
      </w:r>
      <w:r>
        <w:rPr>
          <w:rFonts w:eastAsia="Calibri" w:cs="Calibri"/>
        </w:rPr>
        <w:t xml:space="preserve"> </w:t>
      </w:r>
      <w:r>
        <w:t xml:space="preserve">prokazatelně vymahatelná vůči všem smluvním stranám, které budou využívat uvedené velkoobchodní nabídky. </w:t>
      </w:r>
    </w:p>
    <w:p w14:paraId="7266D67C" w14:textId="77777777" w:rsidR="00290298" w:rsidRDefault="00FD2D52">
      <w:pPr>
        <w:pStyle w:val="Style1"/>
        <w:numPr>
          <w:ilvl w:val="0"/>
          <w:numId w:val="23"/>
        </w:numPr>
        <w:ind w:left="425" w:hanging="425"/>
      </w:pPr>
      <w:r>
        <w:t xml:space="preserve">Velkoobchodní nabídka i podmínky jejího užití, budou moci být kdykoli v době udržitelnosti projektu prověřeny Řídícím orgánem. </w:t>
      </w:r>
    </w:p>
    <w:p w14:paraId="6E3F5652" w14:textId="77777777" w:rsidR="00290298" w:rsidRDefault="00FD2D52" w:rsidP="00F12FD5">
      <w:pPr>
        <w:pStyle w:val="Style1"/>
        <w:numPr>
          <w:ilvl w:val="0"/>
          <w:numId w:val="23"/>
        </w:numPr>
        <w:ind w:left="425" w:hanging="425"/>
      </w:pPr>
      <w:r>
        <w:t>V případě, že Příjemce dotace má k dispozici relevantní informace, že Žadatel o přístup tato pravidla neplní, prokazatelným způsobem na toto neplnění Příjemce dotace upozorní a</w:t>
      </w:r>
      <w:r>
        <w:rPr>
          <w:rFonts w:eastAsia="Calibri" w:cs="Calibri"/>
        </w:rPr>
        <w:t xml:space="preserve"> pokud </w:t>
      </w:r>
      <w:r>
        <w:t>Žadatel o</w:t>
      </w:r>
      <w:r>
        <w:rPr>
          <w:rFonts w:eastAsia="Calibri" w:cs="Calibri"/>
        </w:rPr>
        <w:t xml:space="preserve"> </w:t>
      </w:r>
      <w:r>
        <w:t>přístup</w:t>
      </w:r>
      <w:r>
        <w:rPr>
          <w:rFonts w:eastAsia="Calibri" w:cs="Calibri"/>
        </w:rPr>
        <w:t xml:space="preserve"> </w:t>
      </w:r>
      <w:r>
        <w:t xml:space="preserve">tato pochybení bez zbytečného otálení nenapraví, Příjemce dotace má právo smlouvu </w:t>
      </w:r>
      <w:r>
        <w:rPr>
          <w:rFonts w:eastAsia="Calibri" w:cs="Calibri"/>
        </w:rPr>
        <w:t>o </w:t>
      </w:r>
      <w:r>
        <w:t>velkoobchodním přístupu vypovědět a</w:t>
      </w:r>
      <w:r>
        <w:rPr>
          <w:rFonts w:eastAsia="Calibri" w:cs="Calibri"/>
        </w:rPr>
        <w:t xml:space="preserve"> </w:t>
      </w:r>
      <w:r>
        <w:t>o této skutečnosti informovat Řídící orgán</w:t>
      </w:r>
      <w:r>
        <w:rPr>
          <w:rFonts w:eastAsia="Calibri" w:cs="Calibri"/>
        </w:rPr>
        <w:t>.</w:t>
      </w:r>
    </w:p>
    <w:p w14:paraId="0EDF6A9F" w14:textId="77777777" w:rsidR="00290298" w:rsidRDefault="00FD2D52" w:rsidP="00F12FD5">
      <w:pPr>
        <w:pStyle w:val="Style1"/>
        <w:numPr>
          <w:ilvl w:val="0"/>
          <w:numId w:val="0"/>
        </w:numPr>
        <w:ind w:left="708"/>
      </w:pPr>
      <w:r>
        <w:rPr>
          <w:rFonts w:eastAsia="Calibri" w:cs="Calibri"/>
        </w:rPr>
        <w:t xml:space="preserve"> </w:t>
      </w:r>
    </w:p>
    <w:sectPr w:rsidR="00290298">
      <w:headerReference w:type="default" r:id="rId12"/>
      <w:footerReference w:type="default" r:id="rId13"/>
      <w:pgSz w:w="11906" w:h="16838"/>
      <w:pgMar w:top="1440" w:right="1134" w:bottom="1135" w:left="1134"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C954" w14:textId="77777777" w:rsidR="00E86B53" w:rsidRDefault="00E86B53">
      <w:r>
        <w:separator/>
      </w:r>
    </w:p>
  </w:endnote>
  <w:endnote w:type="continuationSeparator" w:id="0">
    <w:p w14:paraId="2F16011D" w14:textId="77777777" w:rsidR="00E86B53" w:rsidRDefault="00E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Bold">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CellMar>
        <w:left w:w="10" w:type="dxa"/>
        <w:right w:w="10" w:type="dxa"/>
      </w:tblCellMar>
      <w:tblLook w:val="0000" w:firstRow="0" w:lastRow="0" w:firstColumn="0" w:lastColumn="0" w:noHBand="0" w:noVBand="0"/>
    </w:tblPr>
    <w:tblGrid>
      <w:gridCol w:w="4111"/>
      <w:gridCol w:w="1985"/>
      <w:gridCol w:w="3402"/>
    </w:tblGrid>
    <w:tr w:rsidR="00330943" w14:paraId="323358A2" w14:textId="77777777">
      <w:tc>
        <w:tcPr>
          <w:tcW w:w="4111" w:type="dxa"/>
          <w:tcBorders>
            <w:top w:val="single" w:sz="4" w:space="0" w:color="000000"/>
          </w:tcBorders>
          <w:shd w:val="clear" w:color="auto" w:fill="auto"/>
          <w:tcMar>
            <w:top w:w="0" w:type="dxa"/>
            <w:left w:w="108" w:type="dxa"/>
            <w:bottom w:w="0" w:type="dxa"/>
            <w:right w:w="108" w:type="dxa"/>
          </w:tcMar>
        </w:tcPr>
        <w:p w14:paraId="2F5E6AAB" w14:textId="77777777" w:rsidR="00330943" w:rsidRDefault="00330943">
          <w:pPr>
            <w:pStyle w:val="Zpat"/>
            <w:tabs>
              <w:tab w:val="clear" w:pos="9072"/>
              <w:tab w:val="right" w:pos="9638"/>
            </w:tabs>
            <w:ind w:left="738" w:hanging="738"/>
          </w:pPr>
          <w:r>
            <w:rPr>
              <w:rFonts w:cs="Calibri"/>
              <w:noProof/>
              <w:sz w:val="20"/>
            </w:rPr>
            <mc:AlternateContent>
              <mc:Choice Requires="wps">
                <w:drawing>
                  <wp:anchor distT="0" distB="0" distL="114300" distR="114300" simplePos="0" relativeHeight="251663360" behindDoc="0" locked="0" layoutInCell="1" allowOverlap="1" wp14:anchorId="220EFD1F" wp14:editId="341164BB">
                    <wp:simplePos x="0" y="0"/>
                    <wp:positionH relativeFrom="page">
                      <wp:posOffset>0</wp:posOffset>
                    </wp:positionH>
                    <wp:positionV relativeFrom="page">
                      <wp:posOffset>10227948</wp:posOffset>
                    </wp:positionV>
                    <wp:extent cx="7560314" cy="272418"/>
                    <wp:effectExtent l="0" t="0" r="0" b="13332"/>
                    <wp:wrapNone/>
                    <wp:docPr id="4" name="MSIPCM09f048069d5946e66119c43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745FBC41" w14:textId="77777777" w:rsidR="00330943" w:rsidRDefault="00330943">
                                <w:pPr>
                                  <w:rPr>
                                    <w:rFonts w:cs="Calibri"/>
                                    <w:color w:val="000000"/>
                                    <w:sz w:val="14"/>
                                  </w:rPr>
                                </w:pPr>
                                <w:r>
                                  <w:rPr>
                                    <w:rFonts w:cs="Calibri"/>
                                    <w:color w:val="000000"/>
                                    <w:sz w:val="14"/>
                                  </w:rPr>
                                  <w:t>C2 General</w:t>
                                </w:r>
                              </w:p>
                            </w:txbxContent>
                          </wps:txbx>
                          <wps:bodyPr vert="horz" wrap="square" lIns="254002" tIns="0" rIns="91440" bIns="0" anchor="b" anchorCtr="0" compatLnSpc="1">
                            <a:noAutofit/>
                          </wps:bodyPr>
                        </wps:wsp>
                      </a:graphicData>
                    </a:graphic>
                  </wp:anchor>
                </w:drawing>
              </mc:Choice>
              <mc:Fallback>
                <w:pict>
                  <v:shapetype w14:anchorId="220EFD1F" id="_x0000_t202" coordsize="21600,21600" o:spt="202" path="m,l,21600r21600,l21600,xe">
                    <v:stroke joinstyle="miter"/>
                    <v:path gradientshapeok="t" o:connecttype="rect"/>
                  </v:shapetype>
                  <v:shape id="MSIPCM09f048069d5946e66119c431"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4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" filled="f" stroked="f">
                    <v:textbox inset="7.05561mm,0,,0">
                      <w:txbxContent>
                        <w:p w14:paraId="745FBC41" w14:textId="77777777" w:rsidR="00330943" w:rsidRDefault="00330943">
                          <w:pPr>
                            <w:rPr>
                              <w:rFonts w:cs="Calibri"/>
                              <w:color w:val="000000"/>
                              <w:sz w:val="14"/>
                            </w:rPr>
                          </w:pPr>
                          <w:r>
                            <w:rPr>
                              <w:rFonts w:cs="Calibri"/>
                              <w:color w:val="000000"/>
                              <w:sz w:val="14"/>
                            </w:rPr>
                            <w:t>C2 General</w:t>
                          </w:r>
                        </w:p>
                      </w:txbxContent>
                    </v:textbox>
                    <w10:wrap anchorx="page" anchory="page"/>
                  </v:shape>
                </w:pict>
              </mc:Fallback>
            </mc:AlternateContent>
          </w:r>
        </w:p>
      </w:tc>
      <w:tc>
        <w:tcPr>
          <w:tcW w:w="1985" w:type="dxa"/>
          <w:tcBorders>
            <w:top w:val="single" w:sz="4" w:space="0" w:color="000000"/>
          </w:tcBorders>
          <w:shd w:val="clear" w:color="auto" w:fill="auto"/>
          <w:tcMar>
            <w:top w:w="0" w:type="dxa"/>
            <w:left w:w="108" w:type="dxa"/>
            <w:bottom w:w="0" w:type="dxa"/>
            <w:right w:w="108" w:type="dxa"/>
          </w:tcMar>
        </w:tcPr>
        <w:p w14:paraId="542EF97D" w14:textId="77777777" w:rsidR="00330943" w:rsidRDefault="00330943">
          <w:pPr>
            <w:pStyle w:val="Zpat"/>
            <w:tabs>
              <w:tab w:val="clear" w:pos="4536"/>
              <w:tab w:val="clear" w:pos="9072"/>
              <w:tab w:val="center" w:pos="1769"/>
              <w:tab w:val="right" w:pos="9638"/>
            </w:tabs>
            <w:jc w:val="right"/>
            <w:rPr>
              <w:rFonts w:cs="Calibri"/>
              <w:sz w:val="20"/>
            </w:rPr>
          </w:pPr>
        </w:p>
      </w:tc>
      <w:tc>
        <w:tcPr>
          <w:tcW w:w="3402" w:type="dxa"/>
          <w:tcBorders>
            <w:top w:val="single" w:sz="4" w:space="0" w:color="000000"/>
          </w:tcBorders>
          <w:shd w:val="clear" w:color="auto" w:fill="auto"/>
          <w:tcMar>
            <w:top w:w="0" w:type="dxa"/>
            <w:left w:w="108" w:type="dxa"/>
            <w:bottom w:w="0" w:type="dxa"/>
            <w:right w:w="108" w:type="dxa"/>
          </w:tcMar>
        </w:tcPr>
        <w:p w14:paraId="2926024F" w14:textId="77777777" w:rsidR="00330943" w:rsidRDefault="00330943">
          <w:pPr>
            <w:pStyle w:val="Zpat"/>
            <w:tabs>
              <w:tab w:val="clear" w:pos="9072"/>
              <w:tab w:val="right" w:pos="9638"/>
            </w:tabs>
            <w:jc w:val="right"/>
          </w:pPr>
          <w:r>
            <w:rPr>
              <w:rFonts w:cs="Calibri"/>
              <w:sz w:val="20"/>
            </w:rPr>
            <w:fldChar w:fldCharType="begin"/>
          </w:r>
          <w:r>
            <w:rPr>
              <w:rFonts w:cs="Calibri"/>
              <w:sz w:val="20"/>
            </w:rPr>
            <w:instrText xml:space="preserve"> PAGE </w:instrText>
          </w:r>
          <w:r>
            <w:rPr>
              <w:rFonts w:cs="Calibri"/>
              <w:sz w:val="20"/>
            </w:rPr>
            <w:fldChar w:fldCharType="separate"/>
          </w:r>
          <w:r>
            <w:rPr>
              <w:rFonts w:cs="Calibri"/>
              <w:sz w:val="20"/>
            </w:rPr>
            <w:t>1</w:t>
          </w:r>
          <w:r>
            <w:rPr>
              <w:rFonts w:cs="Calibri"/>
              <w:sz w:val="20"/>
            </w:rPr>
            <w:fldChar w:fldCharType="end"/>
          </w:r>
        </w:p>
      </w:tc>
    </w:tr>
  </w:tbl>
  <w:p w14:paraId="76DC00B6" w14:textId="77777777" w:rsidR="00330943" w:rsidRDefault="003309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8AB3" w14:textId="77777777" w:rsidR="00E86B53" w:rsidRDefault="00E86B53">
      <w:r>
        <w:rPr>
          <w:color w:val="000000"/>
        </w:rPr>
        <w:separator/>
      </w:r>
    </w:p>
  </w:footnote>
  <w:footnote w:type="continuationSeparator" w:id="0">
    <w:p w14:paraId="4F1188C5" w14:textId="77777777" w:rsidR="00E86B53" w:rsidRDefault="00E86B53">
      <w:r>
        <w:continuationSeparator/>
      </w:r>
    </w:p>
  </w:footnote>
  <w:footnote w:id="1">
    <w:p w14:paraId="1A5224F0" w14:textId="77777777" w:rsidR="00330943" w:rsidRDefault="00330943">
      <w:pPr>
        <w:pStyle w:val="Textpoznpodarou"/>
        <w:ind w:left="284" w:hanging="284"/>
        <w:jc w:val="both"/>
      </w:pPr>
      <w:r>
        <w:rPr>
          <w:rStyle w:val="Znakapoznpodarou"/>
        </w:rPr>
        <w:footnoteRef/>
      </w:r>
      <w:r>
        <w:t xml:space="preserve"> </w:t>
      </w:r>
      <w:r>
        <w:rPr>
          <w:sz w:val="20"/>
        </w:rPr>
        <w:tab/>
        <w:t>Pokyny byly vypracovány</w:t>
      </w:r>
    </w:p>
    <w:p w14:paraId="5C5FDE35" w14:textId="77777777" w:rsidR="00330943" w:rsidRDefault="00330943">
      <w:pPr>
        <w:pStyle w:val="Textpoznpodarou"/>
        <w:numPr>
          <w:ilvl w:val="0"/>
          <w:numId w:val="24"/>
        </w:numPr>
        <w:ind w:left="568" w:hanging="284"/>
        <w:jc w:val="both"/>
        <w:rPr>
          <w:sz w:val="20"/>
        </w:rPr>
      </w:pPr>
      <w:r>
        <w:rPr>
          <w:sz w:val="20"/>
        </w:rPr>
        <w:t xml:space="preserve"> v souladu s nařízením Komise (EU) 2021/1237 ze dne 23. 7. 2021 o změně nařízení (EU) č. 651/2014, kterým se v souladu s články 107 a 108 Smlouvy prohlašují určité kategorie podpory za slučitelné s vnitřním trhem požadavky nařízení Komise (EU) č. 651/2014 ze dne 17. června 2014, kterým se v souladu s články 107 a 108 Smlouvy prohlašují určité kategorie podpory za slučitelné s vnitřním trhem, v platném znění (dále jen „GBER“).</w:t>
      </w:r>
    </w:p>
    <w:p w14:paraId="64DC7AFB" w14:textId="77777777" w:rsidR="00330943" w:rsidRDefault="00330943">
      <w:pPr>
        <w:pStyle w:val="Textpoznpodarou"/>
        <w:numPr>
          <w:ilvl w:val="0"/>
          <w:numId w:val="24"/>
        </w:numPr>
        <w:ind w:left="568" w:hanging="284"/>
        <w:jc w:val="both"/>
        <w:rPr>
          <w:sz w:val="20"/>
        </w:rPr>
      </w:pPr>
      <w:r>
        <w:rPr>
          <w:sz w:val="20"/>
        </w:rPr>
        <w:t xml:space="preserve">v souladu se Sdělením Komise – Pokyny ke státní podpoře pro širokopásmové sítě, </w:t>
      </w:r>
      <w:proofErr w:type="gramStart"/>
      <w:r>
        <w:rPr>
          <w:sz w:val="20"/>
        </w:rPr>
        <w:t>C(</w:t>
      </w:r>
      <w:proofErr w:type="gramEnd"/>
      <w:r>
        <w:rPr>
          <w:sz w:val="20"/>
        </w:rPr>
        <w:t xml:space="preserve">2022) 9343 </w:t>
      </w:r>
      <w:proofErr w:type="spellStart"/>
      <w:r>
        <w:rPr>
          <w:sz w:val="20"/>
        </w:rPr>
        <w:t>final</w:t>
      </w:r>
      <w:proofErr w:type="spellEnd"/>
      <w:r>
        <w:rPr>
          <w:sz w:val="20"/>
        </w:rPr>
        <w:t xml:space="preserve"> ze dne 12. 12. 2022, (dále jen „BBGL“)</w:t>
      </w:r>
    </w:p>
    <w:p w14:paraId="7966E651" w14:textId="77777777" w:rsidR="00330943" w:rsidRDefault="00330943">
      <w:pPr>
        <w:pStyle w:val="Textpoznpodarou"/>
        <w:numPr>
          <w:ilvl w:val="0"/>
          <w:numId w:val="24"/>
        </w:numPr>
        <w:ind w:left="568" w:hanging="284"/>
        <w:jc w:val="both"/>
        <w:rPr>
          <w:sz w:val="20"/>
        </w:rPr>
      </w:pPr>
      <w:r>
        <w:rPr>
          <w:sz w:val="20"/>
        </w:rPr>
        <w:t>s ohledem na podmínky Národního plánu obnovy (dále jen „NPO“).</w:t>
      </w:r>
    </w:p>
  </w:footnote>
  <w:footnote w:id="2">
    <w:p w14:paraId="7B9EAA48" w14:textId="77777777" w:rsidR="00330943" w:rsidRDefault="00330943">
      <w:pPr>
        <w:pStyle w:val="Textpoznpodarou"/>
        <w:ind w:left="284" w:hanging="284"/>
      </w:pPr>
      <w:r>
        <w:rPr>
          <w:rStyle w:val="Znakapoznpodarou"/>
        </w:rPr>
        <w:footnoteRef/>
      </w:r>
      <w:r>
        <w:rPr>
          <w:sz w:val="20"/>
        </w:rPr>
        <w:t xml:space="preserve"> </w:t>
      </w:r>
      <w:r>
        <w:rPr>
          <w:sz w:val="20"/>
        </w:rPr>
        <w:tab/>
        <w:t>Poruchou se rozumí přerušení poskytování služby, nebo omezení její kvalitativních parametrů.</w:t>
      </w:r>
    </w:p>
  </w:footnote>
  <w:footnote w:id="3">
    <w:p w14:paraId="10F78BEA" w14:textId="77777777" w:rsidR="00330943" w:rsidRDefault="00330943">
      <w:pPr>
        <w:pStyle w:val="Textpoznpodarou"/>
        <w:ind w:left="284" w:hanging="284"/>
      </w:pPr>
      <w:r>
        <w:rPr>
          <w:rStyle w:val="Znakapoznpodarou"/>
        </w:rPr>
        <w:footnoteRef/>
      </w:r>
      <w:r>
        <w:t xml:space="preserve"> </w:t>
      </w:r>
      <w:r>
        <w:tab/>
        <w:t>https://www.ctu.cz/sites/default/files/obsah/ctu-new/ochrana-spotrebitele/kontrola-a-mereni/metodika-pro-mereni-a-vyhodnoceni-datovych-parametru-pevnych-siti-ek-2-1.pdf</w:t>
      </w:r>
    </w:p>
  </w:footnote>
  <w:footnote w:id="4">
    <w:p w14:paraId="03BF37F3" w14:textId="77777777" w:rsidR="00330943" w:rsidRDefault="00330943" w:rsidP="00F63439">
      <w:pPr>
        <w:pStyle w:val="Textpoznpodarou"/>
        <w:ind w:left="284" w:hanging="284"/>
      </w:pPr>
      <w:r>
        <w:rPr>
          <w:rStyle w:val="Znakapoznpodarou"/>
        </w:rPr>
        <w:footnoteRef/>
      </w:r>
      <w:r>
        <w:t xml:space="preserve"> </w:t>
      </w:r>
      <w:r>
        <w:tab/>
        <w:t xml:space="preserve">Ke dní vyhlášení výzvy se jedná o tyto společnosti: T-Mobile Czech Republic a.s., T-Mobile </w:t>
      </w:r>
      <w:proofErr w:type="spellStart"/>
      <w:r>
        <w:t>Infra</w:t>
      </w:r>
      <w:proofErr w:type="spellEnd"/>
      <w:r>
        <w:t xml:space="preserve"> CZ s.r.o., O2 Czech Republic a.s., CETIN a.s., Vodafone Czech Republic a.s., </w:t>
      </w:r>
      <w:proofErr w:type="spellStart"/>
      <w:r>
        <w:t>Vantage</w:t>
      </w:r>
      <w:proofErr w:type="spellEnd"/>
      <w:r>
        <w:t xml:space="preserve"> </w:t>
      </w:r>
      <w:proofErr w:type="spellStart"/>
      <w:r>
        <w:t>Towers</w:t>
      </w:r>
      <w:proofErr w:type="spellEnd"/>
      <w:r>
        <w:t xml:space="preserve"> s.r.o., </w:t>
      </w:r>
      <w:proofErr w:type="spellStart"/>
      <w:r>
        <w:t>incrate</w:t>
      </w:r>
      <w:proofErr w:type="spellEnd"/>
      <w:r>
        <w:t xml:space="preserve"> s.r.o., </w:t>
      </w:r>
      <w:proofErr w:type="spellStart"/>
      <w:r>
        <w:t>Nordic</w:t>
      </w:r>
      <w:proofErr w:type="spellEnd"/>
      <w:r>
        <w:t xml:space="preserve"> Telecom 5G a.s.</w:t>
      </w:r>
    </w:p>
  </w:footnote>
  <w:footnote w:id="5">
    <w:p w14:paraId="59D211A2" w14:textId="77777777" w:rsidR="00330943" w:rsidRDefault="00330943" w:rsidP="00330943">
      <w:pPr>
        <w:pStyle w:val="Textpoznpodarou"/>
      </w:pPr>
      <w:r>
        <w:rPr>
          <w:rStyle w:val="Znakapoznpodarou"/>
        </w:rPr>
        <w:footnoteRef/>
      </w:r>
      <w:r>
        <w:t xml:space="preserve"> </w:t>
      </w:r>
      <w:r w:rsidRPr="00332717">
        <w:t>https://www.ctu.cz/opatreni-obecne-povahy</w:t>
      </w:r>
    </w:p>
  </w:footnote>
  <w:footnote w:id="6">
    <w:p w14:paraId="6AFB6212" w14:textId="77777777" w:rsidR="00330943" w:rsidRDefault="00330943" w:rsidP="00330943">
      <w:pPr>
        <w:pStyle w:val="Textpoznpodarou"/>
      </w:pPr>
      <w:r>
        <w:rPr>
          <w:rStyle w:val="Znakapoznpodarou"/>
        </w:rPr>
        <w:footnoteRef/>
      </w:r>
      <w:r>
        <w:t xml:space="preserve"> </w:t>
      </w:r>
      <w:r w:rsidRPr="000B5A38">
        <w:t>https://www.ctu.cz/zverejneni-metodickeho-postupu-pro-vypocet-nakladu-sluzeb-narodniho-roamingu-ppdr-ve-verejne-mobilni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CE92" w14:textId="77777777" w:rsidR="00330943" w:rsidRDefault="00330943">
    <w:pPr>
      <w:pStyle w:val="Zhlav"/>
    </w:pPr>
    <w:r>
      <w:rPr>
        <w:noProof/>
      </w:rPr>
      <w:drawing>
        <wp:anchor distT="0" distB="0" distL="114300" distR="114300" simplePos="0" relativeHeight="251661312" behindDoc="0" locked="0" layoutInCell="1" allowOverlap="1" wp14:anchorId="22487DFE" wp14:editId="52162BC6">
          <wp:simplePos x="0" y="0"/>
          <wp:positionH relativeFrom="margin">
            <wp:posOffset>2779126</wp:posOffset>
          </wp:positionH>
          <wp:positionV relativeFrom="paragraph">
            <wp:posOffset>-180145</wp:posOffset>
          </wp:positionV>
          <wp:extent cx="1346197" cy="565154"/>
          <wp:effectExtent l="0" t="0" r="6353" b="6346"/>
          <wp:wrapNone/>
          <wp:docPr id="1" name="Obráze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46197" cy="565154"/>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79A351B" wp14:editId="31F40F0C">
          <wp:simplePos x="0" y="0"/>
          <wp:positionH relativeFrom="margin">
            <wp:posOffset>-44448</wp:posOffset>
          </wp:positionH>
          <wp:positionV relativeFrom="margin">
            <wp:posOffset>-720090</wp:posOffset>
          </wp:positionV>
          <wp:extent cx="1936799" cy="575998"/>
          <wp:effectExtent l="0" t="0" r="0" b="0"/>
          <wp:wrapSquare wrapText="bothSides"/>
          <wp:docPr id="2" name="Obrázek 5"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36799" cy="575998"/>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7AF208B6" wp14:editId="324527A7">
          <wp:simplePos x="0" y="0"/>
          <wp:positionH relativeFrom="column">
            <wp:posOffset>5001255</wp:posOffset>
          </wp:positionH>
          <wp:positionV relativeFrom="margin">
            <wp:posOffset>-719459</wp:posOffset>
          </wp:positionV>
          <wp:extent cx="1202399" cy="644395"/>
          <wp:effectExtent l="0" t="0" r="0" b="0"/>
          <wp:wrapNone/>
          <wp:docPr id="3" name="Obrázek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02399" cy="644395"/>
                  </a:xfrm>
                  <a:prstGeom prst="rect">
                    <a:avLst/>
                  </a:prstGeom>
                  <a:noFill/>
                  <a:ln>
                    <a:noFill/>
                    <a:prstDash/>
                  </a:ln>
                </pic:spPr>
              </pic:pic>
            </a:graphicData>
          </a:graphic>
        </wp:anchor>
      </w:drawing>
    </w:r>
  </w:p>
  <w:p w14:paraId="62EA9DB0" w14:textId="77777777" w:rsidR="00330943" w:rsidRDefault="00330943">
    <w:pPr>
      <w:pStyle w:val="Zhlav"/>
    </w:pPr>
  </w:p>
  <w:p w14:paraId="5DB0634B" w14:textId="77777777" w:rsidR="00330943" w:rsidRDefault="003309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812"/>
    <w:multiLevelType w:val="multilevel"/>
    <w:tmpl w:val="36B63D14"/>
    <w:styleLink w:val="WWOutlineListStyle10"/>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0D7BFA"/>
    <w:multiLevelType w:val="multilevel"/>
    <w:tmpl w:val="065EBCB2"/>
    <w:styleLink w:val="WWOutlineListStyle5"/>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12189E"/>
    <w:multiLevelType w:val="multilevel"/>
    <w:tmpl w:val="55C61894"/>
    <w:styleLink w:val="LFO9"/>
    <w:lvl w:ilvl="0">
      <w:start w:val="1"/>
      <w:numFmt w:val="decimal"/>
      <w:pStyle w:val="Podkapitola"/>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1BC5F8C"/>
    <w:multiLevelType w:val="multilevel"/>
    <w:tmpl w:val="90E88D00"/>
    <w:styleLink w:val="WWOutlineListStyle"/>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994EF3"/>
    <w:multiLevelType w:val="multilevel"/>
    <w:tmpl w:val="2A30C72A"/>
    <w:styleLink w:val="WWOutlineListStyle1"/>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B65353"/>
    <w:multiLevelType w:val="multilevel"/>
    <w:tmpl w:val="CD20FF6E"/>
    <w:styleLink w:val="WWOutlineListStyle8"/>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BB0322"/>
    <w:multiLevelType w:val="multilevel"/>
    <w:tmpl w:val="9B6AD2D4"/>
    <w:styleLink w:val="WWOutlineListStyle3"/>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827A86"/>
    <w:multiLevelType w:val="multilevel"/>
    <w:tmpl w:val="8AEAD3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886147"/>
    <w:multiLevelType w:val="multilevel"/>
    <w:tmpl w:val="41BE88E2"/>
    <w:styleLink w:val="WWOutlineListStyle15"/>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311C90"/>
    <w:multiLevelType w:val="multilevel"/>
    <w:tmpl w:val="053AD676"/>
    <w:lvl w:ilvl="0">
      <w:numFmt w:val="bullet"/>
      <w:lvlText w:val="-"/>
      <w:lvlJc w:val="left"/>
      <w:pPr>
        <w:ind w:left="767" w:hanging="360"/>
      </w:pPr>
      <w:rPr>
        <w:rFonts w:ascii="Calibri" w:hAnsi="Calibri"/>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10" w15:restartNumberingAfterBreak="0">
    <w:nsid w:val="3C8D3B6F"/>
    <w:multiLevelType w:val="multilevel"/>
    <w:tmpl w:val="9C447B02"/>
    <w:styleLink w:val="WWOutlineListStyle12"/>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033A3D"/>
    <w:multiLevelType w:val="multilevel"/>
    <w:tmpl w:val="D214CEA4"/>
    <w:styleLink w:val="WWOutlineListStyle11"/>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6A213D"/>
    <w:multiLevelType w:val="multilevel"/>
    <w:tmpl w:val="BC8CD036"/>
    <w:styleLink w:val="WWOutlineListStyle4"/>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6B0A5C"/>
    <w:multiLevelType w:val="multilevel"/>
    <w:tmpl w:val="387096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85704D9"/>
    <w:multiLevelType w:val="multilevel"/>
    <w:tmpl w:val="352EA804"/>
    <w:styleLink w:val="WWOutlineListStyle9"/>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41050F"/>
    <w:multiLevelType w:val="multilevel"/>
    <w:tmpl w:val="7DCEAA36"/>
    <w:styleLink w:val="WWOutlineListStyle2"/>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CA2464"/>
    <w:multiLevelType w:val="multilevel"/>
    <w:tmpl w:val="8AE2811E"/>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DE45FF"/>
    <w:multiLevelType w:val="multilevel"/>
    <w:tmpl w:val="F0F804F6"/>
    <w:styleLink w:val="LFO5"/>
    <w:lvl w:ilvl="0">
      <w:numFmt w:val="bullet"/>
      <w:pStyle w:val="Style1"/>
      <w:lvlText w:val=""/>
      <w:lvlJc w:val="left"/>
      <w:pPr>
        <w:ind w:left="1068" w:hanging="360"/>
      </w:pPr>
      <w:rPr>
        <w:rFonts w:ascii="Wingdings" w:hAnsi="Wingdings"/>
      </w:rPr>
    </w:lvl>
    <w:lvl w:ilvl="1">
      <w:numFmt w:val="bullet"/>
      <w:lvlText w:val="-"/>
      <w:lvlJc w:val="left"/>
      <w:pPr>
        <w:ind w:left="1788" w:hanging="360"/>
      </w:pPr>
      <w:rPr>
        <w:rFonts w:ascii="Calibri" w:hAnsi="Calibri"/>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561E08AE"/>
    <w:multiLevelType w:val="multilevel"/>
    <w:tmpl w:val="40DA3D38"/>
    <w:styleLink w:val="WWOutlineListStyle7"/>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3C21"/>
    <w:multiLevelType w:val="multilevel"/>
    <w:tmpl w:val="02B2E6A8"/>
    <w:styleLink w:val="LFO8"/>
    <w:lvl w:ilvl="0">
      <w:numFmt w:val="bullet"/>
      <w:pStyle w:val="Odrazka"/>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596F4DA5"/>
    <w:multiLevelType w:val="multilevel"/>
    <w:tmpl w:val="07DAB20E"/>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numFmt w:val="bullet"/>
      <w:lvlText w:val="-"/>
      <w:lvlJc w:val="left"/>
      <w:pPr>
        <w:ind w:left="2160" w:hanging="180"/>
      </w:pPr>
      <w:rPr>
        <w:rFonts w:ascii="Calibri" w:hAnsi="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E7389F"/>
    <w:multiLevelType w:val="multilevel"/>
    <w:tmpl w:val="B914DCDA"/>
    <w:lvl w:ilvl="0">
      <w:start w:val="10"/>
      <w:numFmt w:val="lowerLetter"/>
      <w:lvlText w:val="%1)"/>
      <w:lvlJc w:val="left"/>
      <w:pPr>
        <w:ind w:left="2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51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628846E3"/>
    <w:multiLevelType w:val="multilevel"/>
    <w:tmpl w:val="475E5880"/>
    <w:styleLink w:val="WWOutlineListStyle13"/>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3AB64A5"/>
    <w:multiLevelType w:val="multilevel"/>
    <w:tmpl w:val="91584142"/>
    <w:styleLink w:val="VariantaA-sla"/>
    <w:lvl w:ilvl="0">
      <w:start w:val="1"/>
      <w:numFmt w:val="decimal"/>
      <w:pStyle w:val="slovanseznam5"/>
      <w:lvlText w:val="%1."/>
      <w:lvlJc w:val="left"/>
      <w:pPr>
        <w:ind w:left="357" w:hanging="357"/>
      </w:pPr>
    </w:lvl>
    <w:lvl w:ilvl="1">
      <w:start w:val="1"/>
      <w:numFmt w:val="decimal"/>
      <w:lvlText w:val="%1.%2."/>
      <w:lvlJc w:val="left"/>
      <w:pPr>
        <w:ind w:left="851" w:hanging="494"/>
      </w:pPr>
    </w:lvl>
    <w:lvl w:ilvl="2">
      <w:start w:val="1"/>
      <w:numFmt w:val="decimal"/>
      <w:lvlText w:val="%1.%2.%3."/>
      <w:lvlJc w:val="left"/>
      <w:pPr>
        <w:ind w:left="1474" w:hanging="623"/>
      </w:pPr>
    </w:lvl>
    <w:lvl w:ilvl="3">
      <w:start w:val="1"/>
      <w:numFmt w:val="decimal"/>
      <w:lvlText w:val="%1.%2.%3.%4."/>
      <w:lvlJc w:val="left"/>
      <w:pPr>
        <w:ind w:left="2268" w:hanging="794"/>
      </w:pPr>
    </w:lvl>
    <w:lvl w:ilvl="4">
      <w:start w:val="1"/>
      <w:numFmt w:val="decimal"/>
      <w:lvlText w:val="%1.%2.%3.%4.%5."/>
      <w:lvlJc w:val="left"/>
      <w:pPr>
        <w:ind w:left="3232" w:hanging="964"/>
      </w:pPr>
    </w:lvl>
    <w:lvl w:ilvl="5">
      <w:start w:val="1"/>
      <w:numFmt w:val="decimal"/>
      <w:lvlText w:val="%1.%2.%3.%4.%5.%6."/>
      <w:lvlJc w:val="left"/>
      <w:pPr>
        <w:ind w:left="4366" w:hanging="1134"/>
      </w:pPr>
    </w:lvl>
    <w:lvl w:ilvl="6">
      <w:start w:val="1"/>
      <w:numFmt w:val="decimal"/>
      <w:lvlText w:val="%1.%2.%3.%4.%5.%6.%7."/>
      <w:lvlJc w:val="left"/>
      <w:pPr>
        <w:ind w:left="4536" w:hanging="1304"/>
      </w:pPr>
    </w:lvl>
    <w:lvl w:ilvl="7">
      <w:start w:val="1"/>
      <w:numFmt w:val="decimal"/>
      <w:lvlText w:val="%1.%2.%3.%4.%5.%6.%7.%8."/>
      <w:lvlJc w:val="left"/>
      <w:pPr>
        <w:ind w:left="4706" w:hanging="1474"/>
      </w:pPr>
    </w:lvl>
    <w:lvl w:ilvl="8">
      <w:start w:val="1"/>
      <w:numFmt w:val="decimal"/>
      <w:lvlText w:val="%1.%2.%3.%4.%5.%6.%7.%8.%9."/>
      <w:lvlJc w:val="left"/>
      <w:pPr>
        <w:ind w:left="4876" w:hanging="1644"/>
      </w:pPr>
    </w:lvl>
  </w:abstractNum>
  <w:abstractNum w:abstractNumId="24" w15:restartNumberingAfterBreak="0">
    <w:nsid w:val="69FD686B"/>
    <w:multiLevelType w:val="multilevel"/>
    <w:tmpl w:val="5BE032D0"/>
    <w:styleLink w:val="LFO2"/>
    <w:lvl w:ilvl="0">
      <w:start w:val="1"/>
      <w:numFmt w:val="decimal"/>
      <w:pStyle w:val="rovenadpisu3"/>
      <w:lvlText w:val="%1."/>
      <w:lvlJc w:val="left"/>
      <w:pPr>
        <w:ind w:left="360" w:hanging="360"/>
      </w:pPr>
      <w:rPr>
        <w:b/>
        <w:i w:val="0"/>
      </w:rPr>
    </w:lvl>
    <w:lvl w:ilvl="1">
      <w:start w:val="1"/>
      <w:numFmt w:val="decimal"/>
      <w:lvlText w:val="%1.%2."/>
      <w:lvlJc w:val="left"/>
      <w:pPr>
        <w:ind w:left="357" w:hanging="35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FD3993"/>
    <w:multiLevelType w:val="multilevel"/>
    <w:tmpl w:val="0498812C"/>
    <w:lvl w:ilvl="0">
      <w:start w:val="4"/>
      <w:numFmt w:val="lowerLetter"/>
      <w:lvlText w:val="%1)"/>
      <w:lvlJc w:val="left"/>
      <w:pPr>
        <w:ind w:left="23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51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6F711E66"/>
    <w:multiLevelType w:val="multilevel"/>
    <w:tmpl w:val="EAC29B6A"/>
    <w:styleLink w:val="WWOutlineListStyle14"/>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9443F5"/>
    <w:multiLevelType w:val="multilevel"/>
    <w:tmpl w:val="AAF636FE"/>
    <w:styleLink w:val="WWOutlineListStyle6"/>
    <w:lvl w:ilvl="0">
      <w:start w:val="1"/>
      <w:numFmt w:val="decimal"/>
      <w:lvlText w:val="%1."/>
      <w:lvlJc w:val="left"/>
      <w:pPr>
        <w:ind w:left="718" w:hanging="576"/>
      </w:pPr>
    </w:lvl>
    <w:lvl w:ilvl="1">
      <w:start w:val="1"/>
      <w:numFmt w:val="decimal"/>
      <w:lvlText w:val="%1.%2."/>
      <w:lvlJc w:val="left"/>
      <w:pPr>
        <w:ind w:left="718" w:hanging="576"/>
      </w:pPr>
    </w:lvl>
    <w:lvl w:ilvl="2">
      <w:start w:val="1"/>
      <w:numFmt w:val="decimal"/>
      <w:lvlText w:val="%3)"/>
      <w:lvlJc w:val="left"/>
      <w:pPr>
        <w:ind w:left="720" w:hanging="360"/>
      </w:pPr>
    </w:lvl>
    <w:lvl w:ilvl="3">
      <w:start w:val="1"/>
      <w:numFmt w:val="upperRoman"/>
      <w:lvlText w:val="%4."/>
      <w:lvlJc w:val="left"/>
      <w:pPr>
        <w:ind w:left="705" w:hanging="345"/>
      </w:pPr>
      <w:rPr>
        <w:rFonts w:cs="Calibr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A4E5256"/>
    <w:multiLevelType w:val="multilevel"/>
    <w:tmpl w:val="FA0E8A98"/>
    <w:styleLink w:val="WWOutlineListStyle16"/>
    <w:lvl w:ilvl="0">
      <w:start w:val="1"/>
      <w:numFmt w:val="decimal"/>
      <w:pStyle w:val="Nadpis1"/>
      <w:lvlText w:val="%1."/>
      <w:lvlJc w:val="left"/>
      <w:pPr>
        <w:ind w:left="718" w:hanging="576"/>
      </w:pPr>
    </w:lvl>
    <w:lvl w:ilvl="1">
      <w:start w:val="1"/>
      <w:numFmt w:val="decimal"/>
      <w:pStyle w:val="Nadpis2"/>
      <w:lvlText w:val="%1.%2."/>
      <w:lvlJc w:val="left"/>
      <w:pPr>
        <w:ind w:left="718" w:hanging="576"/>
      </w:pPr>
    </w:lvl>
    <w:lvl w:ilvl="2">
      <w:start w:val="1"/>
      <w:numFmt w:val="decimal"/>
      <w:pStyle w:val="Nadpis3"/>
      <w:lvlText w:val="%3)"/>
      <w:lvlJc w:val="left"/>
      <w:pPr>
        <w:ind w:left="720" w:hanging="360"/>
      </w:pPr>
    </w:lvl>
    <w:lvl w:ilvl="3">
      <w:start w:val="1"/>
      <w:numFmt w:val="upperRoman"/>
      <w:pStyle w:val="Nadpis4"/>
      <w:lvlText w:val="%4."/>
      <w:lvlJc w:val="left"/>
      <w:pPr>
        <w:ind w:left="705" w:hanging="345"/>
      </w:pPr>
      <w:rPr>
        <w:rFonts w:cs="Calibri"/>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7BD6101F"/>
    <w:multiLevelType w:val="multilevel"/>
    <w:tmpl w:val="43A44860"/>
    <w:lvl w:ilvl="0">
      <w:start w:val="1"/>
      <w:numFmt w:val="lowerLetter"/>
      <w:lvlText w:val="%1)"/>
      <w:lvlJc w:val="left"/>
      <w:pPr>
        <w:ind w:left="2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51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num w:numId="1">
    <w:abstractNumId w:val="28"/>
  </w:num>
  <w:num w:numId="2">
    <w:abstractNumId w:val="8"/>
  </w:num>
  <w:num w:numId="3">
    <w:abstractNumId w:val="26"/>
  </w:num>
  <w:num w:numId="4">
    <w:abstractNumId w:val="22"/>
  </w:num>
  <w:num w:numId="5">
    <w:abstractNumId w:val="10"/>
  </w:num>
  <w:num w:numId="6">
    <w:abstractNumId w:val="11"/>
  </w:num>
  <w:num w:numId="7">
    <w:abstractNumId w:val="0"/>
  </w:num>
  <w:num w:numId="8">
    <w:abstractNumId w:val="14"/>
  </w:num>
  <w:num w:numId="9">
    <w:abstractNumId w:val="5"/>
  </w:num>
  <w:num w:numId="10">
    <w:abstractNumId w:val="18"/>
  </w:num>
  <w:num w:numId="11">
    <w:abstractNumId w:val="27"/>
  </w:num>
  <w:num w:numId="12">
    <w:abstractNumId w:val="1"/>
  </w:num>
  <w:num w:numId="13">
    <w:abstractNumId w:val="12"/>
  </w:num>
  <w:num w:numId="14">
    <w:abstractNumId w:val="6"/>
  </w:num>
  <w:num w:numId="15">
    <w:abstractNumId w:val="15"/>
  </w:num>
  <w:num w:numId="16">
    <w:abstractNumId w:val="4"/>
  </w:num>
  <w:num w:numId="17">
    <w:abstractNumId w:val="3"/>
  </w:num>
  <w:num w:numId="18">
    <w:abstractNumId w:val="23"/>
  </w:num>
  <w:num w:numId="19">
    <w:abstractNumId w:val="24"/>
  </w:num>
  <w:num w:numId="20">
    <w:abstractNumId w:val="17"/>
  </w:num>
  <w:num w:numId="21">
    <w:abstractNumId w:val="19"/>
  </w:num>
  <w:num w:numId="22">
    <w:abstractNumId w:val="2"/>
  </w:num>
  <w:num w:numId="23">
    <w:abstractNumId w:val="16"/>
  </w:num>
  <w:num w:numId="24">
    <w:abstractNumId w:val="9"/>
  </w:num>
  <w:num w:numId="25">
    <w:abstractNumId w:val="20"/>
  </w:num>
  <w:num w:numId="26">
    <w:abstractNumId w:val="29"/>
  </w:num>
  <w:num w:numId="27">
    <w:abstractNumId w:val="25"/>
  </w:num>
  <w:num w:numId="28">
    <w:abstractNumId w:val="21"/>
  </w:num>
  <w:num w:numId="29">
    <w:abstractNumId w:val="7"/>
  </w:num>
  <w:num w:numId="30">
    <w:abstractNumId w:val="13"/>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98"/>
    <w:rsid w:val="00060E2B"/>
    <w:rsid w:val="000710ED"/>
    <w:rsid w:val="00081690"/>
    <w:rsid w:val="000A209D"/>
    <w:rsid w:val="000E7B6C"/>
    <w:rsid w:val="000F19C9"/>
    <w:rsid w:val="000F2438"/>
    <w:rsid w:val="00101570"/>
    <w:rsid w:val="00144AAC"/>
    <w:rsid w:val="001610DF"/>
    <w:rsid w:val="00195EFE"/>
    <w:rsid w:val="00273AB5"/>
    <w:rsid w:val="00290298"/>
    <w:rsid w:val="002B5A9D"/>
    <w:rsid w:val="002D500D"/>
    <w:rsid w:val="00330943"/>
    <w:rsid w:val="003B4EFA"/>
    <w:rsid w:val="003C5954"/>
    <w:rsid w:val="003E4167"/>
    <w:rsid w:val="003F279F"/>
    <w:rsid w:val="003F6606"/>
    <w:rsid w:val="0040722E"/>
    <w:rsid w:val="00423708"/>
    <w:rsid w:val="00463A61"/>
    <w:rsid w:val="00510F60"/>
    <w:rsid w:val="00520B1F"/>
    <w:rsid w:val="00562F1C"/>
    <w:rsid w:val="006066CD"/>
    <w:rsid w:val="00610990"/>
    <w:rsid w:val="0073324E"/>
    <w:rsid w:val="007B66F2"/>
    <w:rsid w:val="007D41AA"/>
    <w:rsid w:val="007E6FE0"/>
    <w:rsid w:val="007F0817"/>
    <w:rsid w:val="0081520F"/>
    <w:rsid w:val="008771BD"/>
    <w:rsid w:val="009472ED"/>
    <w:rsid w:val="009566C5"/>
    <w:rsid w:val="009A6ED5"/>
    <w:rsid w:val="009E2304"/>
    <w:rsid w:val="00A0358B"/>
    <w:rsid w:val="00A40E8E"/>
    <w:rsid w:val="00A73F1F"/>
    <w:rsid w:val="00A85C2B"/>
    <w:rsid w:val="00A90264"/>
    <w:rsid w:val="00AD7F9E"/>
    <w:rsid w:val="00B22DFA"/>
    <w:rsid w:val="00B33F39"/>
    <w:rsid w:val="00BD7D33"/>
    <w:rsid w:val="00C41DB0"/>
    <w:rsid w:val="00C453DE"/>
    <w:rsid w:val="00C86D4D"/>
    <w:rsid w:val="00C9098F"/>
    <w:rsid w:val="00CB1F6D"/>
    <w:rsid w:val="00CC0BA8"/>
    <w:rsid w:val="00CF15EA"/>
    <w:rsid w:val="00D6270D"/>
    <w:rsid w:val="00D72620"/>
    <w:rsid w:val="00D8153F"/>
    <w:rsid w:val="00DC2F42"/>
    <w:rsid w:val="00DD3091"/>
    <w:rsid w:val="00E528C8"/>
    <w:rsid w:val="00E6109C"/>
    <w:rsid w:val="00E74A4C"/>
    <w:rsid w:val="00E76D2E"/>
    <w:rsid w:val="00E8274F"/>
    <w:rsid w:val="00E86B53"/>
    <w:rsid w:val="00EB6C0B"/>
    <w:rsid w:val="00EE0870"/>
    <w:rsid w:val="00F015A4"/>
    <w:rsid w:val="00F04CC9"/>
    <w:rsid w:val="00F12FD5"/>
    <w:rsid w:val="00F227BA"/>
    <w:rsid w:val="00F63439"/>
    <w:rsid w:val="00FB3C2C"/>
    <w:rsid w:val="00FB7BF4"/>
    <w:rsid w:val="00FD2D52"/>
    <w:rsid w:val="00FD3521"/>
    <w:rsid w:val="00FE1CC1"/>
    <w:rsid w:val="00FF11FE"/>
    <w:rsid w:val="00FF31B4"/>
    <w:rsid w:val="0DB4B278"/>
    <w:rsid w:val="72B9C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1B0F"/>
  <w15:docId w15:val="{A5E8F3A0-2AF1-4CA4-A047-F92D7D3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pPr>
    <w:rPr>
      <w:rFonts w:ascii="Calibri" w:hAnsi="Calibri"/>
      <w:sz w:val="22"/>
    </w:rPr>
  </w:style>
  <w:style w:type="paragraph" w:styleId="Nadpis1">
    <w:name w:val="heading 1"/>
    <w:basedOn w:val="Nadpis2"/>
    <w:next w:val="Normln"/>
    <w:uiPriority w:val="9"/>
    <w:qFormat/>
    <w:pPr>
      <w:numPr>
        <w:ilvl w:val="0"/>
      </w:numPr>
      <w:ind w:right="6"/>
      <w:outlineLvl w:val="0"/>
    </w:pPr>
    <w:rPr>
      <w:rFonts w:ascii="Calibri" w:hAnsi="Calibri" w:cs="Calibri"/>
      <w:i w:val="0"/>
      <w:sz w:val="22"/>
      <w:szCs w:val="22"/>
    </w:rPr>
  </w:style>
  <w:style w:type="paragraph" w:styleId="Nadpis2">
    <w:name w:val="heading 2"/>
    <w:basedOn w:val="Normln"/>
    <w:next w:val="Normln"/>
    <w:uiPriority w:val="9"/>
    <w:semiHidden/>
    <w:unhideWhenUsed/>
    <w:qFormat/>
    <w:pPr>
      <w:keepNext/>
      <w:numPr>
        <w:ilvl w:val="1"/>
        <w:numId w:val="1"/>
      </w:numPr>
      <w:tabs>
        <w:tab w:val="left" w:pos="-10912"/>
      </w:tabs>
      <w:spacing w:before="240" w:after="60"/>
      <w:outlineLvl w:val="1"/>
    </w:pPr>
    <w:rPr>
      <w:rFonts w:ascii="Arial" w:hAnsi="Arial" w:cs="Arial"/>
      <w:b/>
      <w:bCs/>
      <w:i/>
      <w:iCs/>
      <w:sz w:val="28"/>
      <w:szCs w:val="28"/>
    </w:rPr>
  </w:style>
  <w:style w:type="paragraph" w:styleId="Nadpis3">
    <w:name w:val="heading 3"/>
    <w:basedOn w:val="Normln"/>
    <w:next w:val="Normln"/>
    <w:uiPriority w:val="9"/>
    <w:semiHidden/>
    <w:unhideWhenUsed/>
    <w:qFormat/>
    <w:pPr>
      <w:numPr>
        <w:ilvl w:val="2"/>
        <w:numId w:val="1"/>
      </w:numPr>
      <w:spacing w:line="276" w:lineRule="auto"/>
      <w:outlineLvl w:val="2"/>
    </w:pPr>
    <w:rPr>
      <w:rFonts w:eastAsia="Yu Mincho" w:cs="Calibri,Bold"/>
      <w:b/>
      <w:bCs/>
      <w:sz w:val="24"/>
      <w:szCs w:val="24"/>
    </w:rPr>
  </w:style>
  <w:style w:type="paragraph" w:styleId="Nadpis4">
    <w:name w:val="heading 4"/>
    <w:basedOn w:val="Odstavecseseznamem"/>
    <w:next w:val="Normln"/>
    <w:uiPriority w:val="9"/>
    <w:semiHidden/>
    <w:unhideWhenUsed/>
    <w:qFormat/>
    <w:pPr>
      <w:numPr>
        <w:ilvl w:val="3"/>
        <w:numId w:val="1"/>
      </w:numPr>
      <w:autoSpaceDE w:val="0"/>
      <w:spacing w:after="120"/>
      <w:outlineLvl w:val="3"/>
    </w:pPr>
    <w:rPr>
      <w:rFonts w:eastAsia="Yu Mincho"/>
      <w:b/>
      <w:sz w:val="24"/>
      <w:szCs w:val="24"/>
    </w:rPr>
  </w:style>
  <w:style w:type="paragraph" w:styleId="Nadpis5">
    <w:name w:val="heading 5"/>
    <w:basedOn w:val="Normln"/>
    <w:next w:val="Normln"/>
    <w:uiPriority w:val="9"/>
    <w:semiHidden/>
    <w:unhideWhenUsed/>
    <w:qFormat/>
    <w:pPr>
      <w:numPr>
        <w:ilvl w:val="4"/>
        <w:numId w:val="1"/>
      </w:numPr>
      <w:tabs>
        <w:tab w:val="left" w:pos="-14688"/>
      </w:tabs>
      <w:spacing w:before="240" w:after="120"/>
      <w:outlineLvl w:val="4"/>
    </w:pPr>
    <w:rPr>
      <w:rFonts w:ascii="Arial" w:hAnsi="Arial" w:cs="Arial"/>
      <w:b/>
      <w:bCs/>
      <w:i/>
      <w:iCs/>
      <w:sz w:val="24"/>
      <w:szCs w:val="26"/>
    </w:rPr>
  </w:style>
  <w:style w:type="paragraph" w:styleId="Nadpis6">
    <w:name w:val="heading 6"/>
    <w:basedOn w:val="Normln"/>
    <w:next w:val="Normln"/>
    <w:uiPriority w:val="9"/>
    <w:semiHidden/>
    <w:unhideWhenUsed/>
    <w:qFormat/>
    <w:pPr>
      <w:numPr>
        <w:ilvl w:val="5"/>
        <w:numId w:val="1"/>
      </w:numPr>
      <w:spacing w:before="240" w:after="60"/>
      <w:outlineLvl w:val="5"/>
    </w:pPr>
    <w:rPr>
      <w:b/>
      <w:bCs/>
      <w:szCs w:val="22"/>
    </w:rPr>
  </w:style>
  <w:style w:type="paragraph" w:styleId="Nadpis7">
    <w:name w:val="heading 7"/>
    <w:basedOn w:val="Normln"/>
    <w:next w:val="Normln"/>
    <w:pPr>
      <w:numPr>
        <w:ilvl w:val="6"/>
        <w:numId w:val="1"/>
      </w:numPr>
      <w:spacing w:before="240" w:after="60"/>
      <w:outlineLvl w:val="6"/>
    </w:pPr>
    <w:rPr>
      <w:sz w:val="24"/>
      <w:szCs w:val="24"/>
    </w:rPr>
  </w:style>
  <w:style w:type="paragraph" w:styleId="Nadpis8">
    <w:name w:val="heading 8"/>
    <w:basedOn w:val="Normln"/>
    <w:next w:val="Normln"/>
    <w:pPr>
      <w:numPr>
        <w:ilvl w:val="7"/>
        <w:numId w:val="1"/>
      </w:numPr>
      <w:spacing w:before="240" w:after="60"/>
      <w:outlineLvl w:val="7"/>
    </w:pPr>
    <w:rPr>
      <w:i/>
      <w:iCs/>
      <w:sz w:val="24"/>
      <w:szCs w:val="24"/>
    </w:rPr>
  </w:style>
  <w:style w:type="paragraph" w:styleId="Nadpis9">
    <w:name w:val="heading 9"/>
    <w:basedOn w:val="Normln"/>
    <w:next w:val="Normln"/>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16">
    <w:name w:val="WW_OutlineListStyle_16"/>
    <w:basedOn w:val="Bezseznamu"/>
    <w:pPr>
      <w:numPr>
        <w:numId w:val="1"/>
      </w:numPr>
    </w:pPr>
  </w:style>
  <w:style w:type="character" w:customStyle="1" w:styleId="TextpoznpodarouChar">
    <w:name w:val="Text pozn. pod čarou Char"/>
    <w:basedOn w:val="Standardnpsmoodstavce"/>
    <w:rPr>
      <w:rFonts w:ascii="Calibri" w:hAnsi="Calibri"/>
      <w:sz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line="360" w:lineRule="auto"/>
    </w:pPr>
    <w:rPr>
      <w:sz w:val="24"/>
    </w:rPr>
  </w:style>
  <w:style w:type="paragraph" w:styleId="Textpoznpodarou">
    <w:name w:val="footnote text"/>
    <w:basedOn w:val="Normln"/>
  </w:style>
  <w:style w:type="character" w:styleId="Znakapoznpodarou">
    <w:name w:val="footnote reference"/>
    <w:rPr>
      <w:position w:val="0"/>
      <w:vertAlign w:val="superscript"/>
    </w:rPr>
  </w:style>
  <w:style w:type="paragraph" w:styleId="Zkladntextodsazen">
    <w:name w:val="Body Text Indent"/>
    <w:basedOn w:val="Normln"/>
    <w:pPr>
      <w:overflowPunct/>
      <w:ind w:left="720"/>
      <w:jc w:val="both"/>
      <w:textAlignment w:val="auto"/>
    </w:pPr>
    <w:rPr>
      <w:rFonts w:ascii="Arial" w:hAnsi="Arial" w:cs="Arial"/>
      <w:color w:val="FF0000"/>
      <w:sz w:val="24"/>
      <w:szCs w:val="24"/>
    </w:rPr>
  </w:style>
  <w:style w:type="paragraph" w:styleId="Zkladntext2">
    <w:name w:val="Body Text 2"/>
    <w:basedOn w:val="Normln"/>
    <w:pPr>
      <w:overflowPunct/>
      <w:autoSpaceDE/>
      <w:textAlignment w:val="auto"/>
    </w:pPr>
    <w:rPr>
      <w:rFonts w:ascii="Arial" w:hAnsi="Arial" w:cs="Arial"/>
      <w:i/>
      <w:iCs/>
      <w:color w:val="FF0000"/>
      <w:sz w:val="24"/>
      <w:szCs w:val="24"/>
    </w:rPr>
  </w:style>
  <w:style w:type="paragraph" w:styleId="Zkladntextodsazen2">
    <w:name w:val="Body Text Indent 2"/>
    <w:basedOn w:val="Normln"/>
    <w:pPr>
      <w:overflowPunct/>
      <w:ind w:left="360"/>
      <w:textAlignment w:val="auto"/>
    </w:pPr>
    <w:rPr>
      <w:rFonts w:ascii="Arial" w:hAnsi="Arial" w:cs="Arial"/>
      <w:b/>
      <w:bCs/>
      <w:color w:val="FF0000"/>
      <w:sz w:val="24"/>
      <w:szCs w:val="24"/>
    </w:rPr>
  </w:style>
  <w:style w:type="paragraph" w:customStyle="1" w:styleId="rovenadpisu2">
    <w:name w:val="úroveň nadpisu 2"/>
    <w:basedOn w:val="Zkladntextodsazen"/>
    <w:pPr>
      <w:keepNext/>
      <w:autoSpaceDE/>
      <w:spacing w:before="120" w:line="360" w:lineRule="auto"/>
    </w:pPr>
    <w:rPr>
      <w:b/>
      <w:bCs/>
      <w:color w:val="auto"/>
    </w:rPr>
  </w:style>
  <w:style w:type="paragraph" w:customStyle="1" w:styleId="rovenadpisu1">
    <w:name w:val="úroveň nadpisu 1"/>
    <w:basedOn w:val="Normln"/>
    <w:pPr>
      <w:keepNext/>
      <w:overflowPunct/>
      <w:autoSpaceDE/>
      <w:spacing w:before="240" w:line="360" w:lineRule="auto"/>
      <w:jc w:val="both"/>
      <w:textAlignment w:val="auto"/>
    </w:pPr>
    <w:rPr>
      <w:rFonts w:ascii="Arial" w:hAnsi="Arial" w:cs="Arial"/>
      <w:b/>
      <w:bCs/>
      <w:sz w:val="24"/>
      <w:szCs w:val="24"/>
    </w:rPr>
  </w:style>
  <w:style w:type="paragraph" w:customStyle="1" w:styleId="rovenadpisu3">
    <w:name w:val="úroveň nadpisu 3"/>
    <w:basedOn w:val="rovenadpisu2"/>
    <w:pPr>
      <w:numPr>
        <w:numId w:val="19"/>
      </w:numPr>
      <w:tabs>
        <w:tab w:val="left" w:pos="6480"/>
      </w:tabs>
    </w:pPr>
    <w:rPr>
      <w:bCs w:val="0"/>
    </w:rPr>
  </w:style>
  <w:style w:type="paragraph" w:styleId="Zkladntext3">
    <w:name w:val="Body Text 3"/>
    <w:basedOn w:val="Normln"/>
    <w:pPr>
      <w:ind w:right="142"/>
      <w:jc w:val="both"/>
    </w:pPr>
    <w:rPr>
      <w:rFonts w:ascii="Arial" w:hAnsi="Arial" w:cs="Arial"/>
      <w:szCs w:val="22"/>
    </w:rPr>
  </w:style>
  <w:style w:type="paragraph" w:styleId="Nzev">
    <w:name w:val="Title"/>
    <w:basedOn w:val="Normln"/>
    <w:uiPriority w:val="10"/>
    <w:qFormat/>
    <w:pPr>
      <w:overflowPunct/>
      <w:autoSpaceDE/>
      <w:jc w:val="center"/>
      <w:textAlignment w:val="auto"/>
    </w:pPr>
    <w:rPr>
      <w:b/>
      <w:bCs/>
      <w:sz w:val="28"/>
      <w:szCs w:val="24"/>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sz w:val="16"/>
      <w:szCs w:val="16"/>
    </w:rPr>
  </w:style>
  <w:style w:type="character" w:styleId="Hypertextovodkaz">
    <w:name w:val="Hyperlink"/>
    <w:rPr>
      <w:color w:val="0563C1"/>
      <w:u w:val="single"/>
    </w:rPr>
  </w:style>
  <w:style w:type="character" w:styleId="Odkaznakoment">
    <w:name w:val="annotation reference"/>
    <w:rPr>
      <w:sz w:val="16"/>
      <w:szCs w:val="16"/>
    </w:rPr>
  </w:style>
  <w:style w:type="paragraph" w:styleId="Textkomente">
    <w:name w:val="annotation text"/>
    <w:basedOn w:val="Normln"/>
  </w:style>
  <w:style w:type="character" w:customStyle="1" w:styleId="TextkomenteChar">
    <w:name w:val="Text komentáře Char"/>
    <w:basedOn w:val="Standardnpsmoodstavce"/>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character" w:styleId="Sledovanodkaz">
    <w:name w:val="FollowedHyperlink"/>
    <w:rPr>
      <w:color w:val="954F72"/>
      <w:u w:val="single"/>
    </w:rPr>
  </w:style>
  <w:style w:type="paragraph" w:styleId="Odstavecseseznamem">
    <w:name w:val="List Paragraph"/>
    <w:basedOn w:val="Normln"/>
    <w:pPr>
      <w:overflowPunct/>
      <w:autoSpaceDE/>
      <w:spacing w:before="60"/>
      <w:jc w:val="both"/>
      <w:textAlignment w:val="auto"/>
    </w:pPr>
    <w:rPr>
      <w:rFonts w:cs="Calibri"/>
      <w:szCs w:val="22"/>
    </w:rPr>
  </w:style>
  <w:style w:type="paragraph" w:styleId="slovanseznam">
    <w:name w:val="List Number"/>
    <w:basedOn w:val="Normln"/>
    <w:pPr>
      <w:overflowPunct/>
      <w:autoSpaceDE/>
      <w:spacing w:line="340" w:lineRule="exact"/>
      <w:jc w:val="both"/>
      <w:textAlignment w:val="auto"/>
    </w:pPr>
  </w:style>
  <w:style w:type="paragraph" w:styleId="slovanseznam2">
    <w:name w:val="List Number 2"/>
    <w:basedOn w:val="Normln"/>
    <w:pPr>
      <w:overflowPunct/>
      <w:autoSpaceDE/>
      <w:spacing w:line="340" w:lineRule="exact"/>
      <w:jc w:val="both"/>
      <w:textAlignment w:val="auto"/>
    </w:pPr>
  </w:style>
  <w:style w:type="paragraph" w:styleId="slovanseznam3">
    <w:name w:val="List Number 3"/>
    <w:basedOn w:val="Normln"/>
    <w:pPr>
      <w:overflowPunct/>
      <w:autoSpaceDE/>
      <w:spacing w:line="340" w:lineRule="exact"/>
      <w:jc w:val="both"/>
      <w:textAlignment w:val="auto"/>
    </w:pPr>
  </w:style>
  <w:style w:type="paragraph" w:styleId="slovanseznam4">
    <w:name w:val="List Number 4"/>
    <w:basedOn w:val="Normln"/>
    <w:pPr>
      <w:overflowPunct/>
      <w:autoSpaceDE/>
      <w:spacing w:line="340" w:lineRule="exact"/>
      <w:jc w:val="both"/>
      <w:textAlignment w:val="auto"/>
    </w:pPr>
  </w:style>
  <w:style w:type="paragraph" w:styleId="slovanseznam5">
    <w:name w:val="List Number 5"/>
    <w:basedOn w:val="Normln"/>
    <w:pPr>
      <w:numPr>
        <w:numId w:val="18"/>
      </w:numPr>
      <w:overflowPunct/>
      <w:autoSpaceDE/>
      <w:spacing w:line="340" w:lineRule="exact"/>
      <w:jc w:val="both"/>
      <w:textAlignment w:val="auto"/>
    </w:pPr>
  </w:style>
  <w:style w:type="character" w:customStyle="1" w:styleId="OdstavecseseznamemChar">
    <w:name w:val="Odstavec se seznamem Char"/>
    <w:rPr>
      <w:rFonts w:ascii="Calibri" w:hAnsi="Calibri" w:cs="Calibri"/>
      <w:sz w:val="22"/>
      <w:szCs w:val="22"/>
    </w:rPr>
  </w:style>
  <w:style w:type="paragraph" w:styleId="Revize">
    <w:name w:val="Revision"/>
    <w:pPr>
      <w:suppressAutoHyphens/>
    </w:pPr>
  </w:style>
  <w:style w:type="character" w:customStyle="1" w:styleId="ZhlavChar">
    <w:name w:val="Záhlaví Char"/>
    <w:basedOn w:val="Standardnpsmoodstavce"/>
    <w:rPr>
      <w:rFonts w:ascii="Calibri" w:hAnsi="Calibri"/>
      <w:sz w:val="22"/>
    </w:rPr>
  </w:style>
  <w:style w:type="character" w:customStyle="1" w:styleId="ZpatChar">
    <w:name w:val="Zápatí Char"/>
    <w:basedOn w:val="Standardnpsmoodstavce"/>
    <w:rPr>
      <w:rFonts w:ascii="Calibri" w:hAnsi="Calibri"/>
      <w:sz w:val="22"/>
    </w:rPr>
  </w:style>
  <w:style w:type="paragraph" w:customStyle="1" w:styleId="paragraph">
    <w:name w:val="paragraph"/>
    <w:basedOn w:val="Normln"/>
    <w:pPr>
      <w:overflowPunct/>
      <w:autoSpaceDE/>
      <w:spacing w:before="100" w:after="100"/>
      <w:textAlignment w:val="auto"/>
    </w:pPr>
    <w:rPr>
      <w:rFonts w:ascii="Times New Roman" w:hAnsi="Times New Roman"/>
      <w:sz w:val="24"/>
      <w:szCs w:val="24"/>
      <w:lang w:val="en-US" w:eastAsia="en-US"/>
    </w:rPr>
  </w:style>
  <w:style w:type="character" w:customStyle="1" w:styleId="normaltextrun">
    <w:name w:val="normaltextrun"/>
    <w:basedOn w:val="Standardnpsmoodstavce"/>
  </w:style>
  <w:style w:type="character" w:customStyle="1" w:styleId="eop">
    <w:name w:val="eop"/>
    <w:basedOn w:val="Standardnpsmoodstavce"/>
  </w:style>
  <w:style w:type="paragraph" w:customStyle="1" w:styleId="Style1">
    <w:name w:val="Style1"/>
    <w:basedOn w:val="Odstavecseseznamem"/>
    <w:pPr>
      <w:numPr>
        <w:numId w:val="20"/>
      </w:numPr>
    </w:pPr>
    <w:rPr>
      <w:rFonts w:eastAsia="Yu Mincho" w:cs="Arial"/>
    </w:rPr>
  </w:style>
  <w:style w:type="character" w:customStyle="1" w:styleId="scxw25263417">
    <w:name w:val="scxw25263417"/>
    <w:basedOn w:val="Standardnpsmoodstavce"/>
  </w:style>
  <w:style w:type="character" w:customStyle="1" w:styleId="Style1Char">
    <w:name w:val="Style1 Char"/>
    <w:basedOn w:val="OdstavecseseznamemChar"/>
    <w:rPr>
      <w:rFonts w:ascii="Calibri" w:eastAsia="Yu Mincho" w:hAnsi="Calibri" w:cs="Arial"/>
      <w:sz w:val="22"/>
      <w:szCs w:val="22"/>
    </w:rPr>
  </w:style>
  <w:style w:type="character" w:customStyle="1" w:styleId="Nadpis3Char">
    <w:name w:val="Nadpis 3 Char"/>
    <w:basedOn w:val="Standardnpsmoodstavce"/>
    <w:rPr>
      <w:rFonts w:ascii="Calibri" w:eastAsia="Yu Mincho" w:hAnsi="Calibri" w:cs="Calibri,Bold"/>
      <w:b/>
      <w:bCs/>
      <w:sz w:val="24"/>
      <w:szCs w:val="24"/>
    </w:rPr>
  </w:style>
  <w:style w:type="paragraph" w:customStyle="1" w:styleId="Odrazka">
    <w:name w:val="Odrazka"/>
    <w:basedOn w:val="slovanseznam2"/>
    <w:pPr>
      <w:numPr>
        <w:numId w:val="21"/>
      </w:numPr>
      <w:spacing w:before="60" w:after="60" w:line="240" w:lineRule="auto"/>
    </w:pPr>
    <w:rPr>
      <w:rFonts w:cs="Arial"/>
      <w:color w:val="000000"/>
      <w:sz w:val="20"/>
      <w:szCs w:val="22"/>
    </w:rPr>
  </w:style>
  <w:style w:type="character" w:customStyle="1" w:styleId="OdrazkaChar">
    <w:name w:val="Odrazka Char"/>
    <w:basedOn w:val="Standardnpsmoodstavce"/>
    <w:rPr>
      <w:rFonts w:ascii="Calibri" w:hAnsi="Calibri" w:cs="Arial"/>
      <w:color w:val="000000"/>
      <w:szCs w:val="22"/>
    </w:rPr>
  </w:style>
  <w:style w:type="paragraph" w:styleId="Titulek">
    <w:name w:val="caption"/>
    <w:basedOn w:val="Normln"/>
    <w:next w:val="Normln"/>
    <w:pPr>
      <w:spacing w:after="200"/>
    </w:pPr>
    <w:rPr>
      <w:i/>
      <w:iCs/>
      <w:color w:val="44546A"/>
      <w:sz w:val="18"/>
      <w:szCs w:val="18"/>
    </w:rPr>
  </w:style>
  <w:style w:type="paragraph" w:customStyle="1" w:styleId="Kapitola">
    <w:name w:val="Kapitola"/>
    <w:basedOn w:val="Normln"/>
    <w:pPr>
      <w:overflowPunct/>
      <w:autoSpaceDE/>
      <w:spacing w:after="100" w:line="360" w:lineRule="auto"/>
      <w:jc w:val="both"/>
      <w:textAlignment w:val="auto"/>
    </w:pPr>
    <w:rPr>
      <w:rFonts w:ascii="Times New Roman" w:eastAsia="Calibri" w:hAnsi="Times New Roman"/>
      <w:b/>
      <w:color w:val="1F497D"/>
      <w:sz w:val="28"/>
      <w:szCs w:val="22"/>
      <w:lang w:eastAsia="en-US"/>
    </w:rPr>
  </w:style>
  <w:style w:type="paragraph" w:customStyle="1" w:styleId="Podkapitola">
    <w:name w:val="Podkapitola"/>
    <w:basedOn w:val="Normln"/>
    <w:pPr>
      <w:numPr>
        <w:numId w:val="22"/>
      </w:numPr>
      <w:tabs>
        <w:tab w:val="left" w:pos="-10800"/>
      </w:tabs>
      <w:overflowPunct/>
      <w:autoSpaceDE/>
      <w:spacing w:after="100" w:line="360" w:lineRule="auto"/>
      <w:jc w:val="both"/>
      <w:textAlignment w:val="auto"/>
    </w:pPr>
    <w:rPr>
      <w:rFonts w:ascii="Times New Roman" w:eastAsia="Calibri" w:hAnsi="Times New Roman"/>
      <w:b/>
      <w:bCs/>
      <w:sz w:val="20"/>
      <w:szCs w:val="22"/>
      <w:lang w:eastAsia="en-US"/>
    </w:rPr>
  </w:style>
  <w:style w:type="paragraph" w:customStyle="1" w:styleId="Clanek">
    <w:name w:val="Clanek"/>
    <w:basedOn w:val="paragraph"/>
    <w:pPr>
      <w:spacing w:before="144" w:after="0"/>
      <w:jc w:val="both"/>
      <w:textAlignment w:val="baseline"/>
    </w:pPr>
    <w:rPr>
      <w:rFonts w:ascii="Calibri" w:eastAsia="Yu Mincho" w:hAnsi="Calibri" w:cs="Arial"/>
      <w:sz w:val="22"/>
      <w:szCs w:val="22"/>
      <w:lang w:val="cs-CZ"/>
    </w:rPr>
  </w:style>
  <w:style w:type="character" w:customStyle="1" w:styleId="paragraphChar">
    <w:name w:val="paragraph Char"/>
    <w:basedOn w:val="Standardnpsmoodstavce"/>
    <w:rPr>
      <w:sz w:val="24"/>
      <w:szCs w:val="24"/>
      <w:lang w:val="en-US" w:eastAsia="en-US"/>
    </w:rPr>
  </w:style>
  <w:style w:type="character" w:customStyle="1" w:styleId="ClanekChar">
    <w:name w:val="Clanek Char"/>
    <w:basedOn w:val="paragraphChar"/>
    <w:rPr>
      <w:rFonts w:ascii="Calibri" w:eastAsia="Yu Mincho" w:hAnsi="Calibri" w:cs="Arial"/>
      <w:sz w:val="22"/>
      <w:szCs w:val="22"/>
      <w:lang w:val="en-US" w:eastAsia="en-US"/>
    </w:rPr>
  </w:style>
  <w:style w:type="character" w:customStyle="1" w:styleId="Mention1">
    <w:name w:val="Mention1"/>
    <w:basedOn w:val="Standardnpsmoodstavce"/>
    <w:rPr>
      <w:color w:val="2B579A"/>
      <w:shd w:val="clear" w:color="auto" w:fill="E6E6E6"/>
    </w:rPr>
  </w:style>
  <w:style w:type="paragraph" w:customStyle="1" w:styleId="footnotedescription">
    <w:name w:val="footnote description"/>
    <w:next w:val="Normln"/>
    <w:pPr>
      <w:suppressAutoHyphens/>
      <w:ind w:left="17"/>
    </w:pPr>
    <w:rPr>
      <w:rFonts w:ascii="Calibri" w:eastAsia="Calibri" w:hAnsi="Calibri" w:cs="Calibri"/>
      <w:color w:val="000000"/>
      <w:sz w:val="18"/>
      <w:szCs w:val="22"/>
    </w:rPr>
  </w:style>
  <w:style w:type="character" w:customStyle="1" w:styleId="footnotedescriptionChar">
    <w:name w:val="footnote description Char"/>
    <w:rPr>
      <w:rFonts w:ascii="Calibri" w:eastAsia="Calibri" w:hAnsi="Calibri" w:cs="Calibri"/>
      <w:color w:val="000000"/>
      <w:sz w:val="18"/>
      <w:szCs w:val="22"/>
    </w:rPr>
  </w:style>
  <w:style w:type="character" w:customStyle="1" w:styleId="footnotemark">
    <w:name w:val="footnote mark"/>
    <w:rPr>
      <w:rFonts w:ascii="Calibri" w:eastAsia="Calibri" w:hAnsi="Calibri" w:cs="Calibri"/>
      <w:color w:val="000000"/>
      <w:position w:val="0"/>
      <w:sz w:val="18"/>
      <w:vertAlign w:val="superscript"/>
    </w:rPr>
  </w:style>
  <w:style w:type="character" w:customStyle="1" w:styleId="Nadpis2Char">
    <w:name w:val="Nadpis 2 Char"/>
    <w:rPr>
      <w:rFonts w:ascii="Arial" w:hAnsi="Arial" w:cs="Arial"/>
      <w:b/>
      <w:bCs/>
      <w:i/>
      <w:iCs/>
      <w:sz w:val="28"/>
      <w:szCs w:val="28"/>
    </w:rPr>
  </w:style>
  <w:style w:type="character" w:customStyle="1" w:styleId="Nadpis1Char">
    <w:name w:val="Nadpis 1 Char"/>
    <w:rPr>
      <w:rFonts w:ascii="Calibri" w:hAnsi="Calibri" w:cs="Calibri"/>
      <w:b/>
      <w:bCs/>
      <w:iCs/>
      <w:sz w:val="22"/>
      <w:szCs w:val="22"/>
    </w:rPr>
  </w:style>
  <w:style w:type="numbering" w:customStyle="1" w:styleId="WWOutlineListStyle15">
    <w:name w:val="WW_OutlineListStyle_15"/>
    <w:basedOn w:val="Bezseznamu"/>
    <w:pPr>
      <w:numPr>
        <w:numId w:val="2"/>
      </w:numPr>
    </w:pPr>
  </w:style>
  <w:style w:type="numbering" w:customStyle="1" w:styleId="WWOutlineListStyle14">
    <w:name w:val="WW_OutlineListStyle_14"/>
    <w:basedOn w:val="Bezseznamu"/>
    <w:pPr>
      <w:numPr>
        <w:numId w:val="3"/>
      </w:numPr>
    </w:pPr>
  </w:style>
  <w:style w:type="numbering" w:customStyle="1" w:styleId="WWOutlineListStyle13">
    <w:name w:val="WW_OutlineListStyle_13"/>
    <w:basedOn w:val="Bezseznamu"/>
    <w:pPr>
      <w:numPr>
        <w:numId w:val="4"/>
      </w:numPr>
    </w:pPr>
  </w:style>
  <w:style w:type="numbering" w:customStyle="1" w:styleId="WWOutlineListStyle12">
    <w:name w:val="WW_OutlineListStyle_12"/>
    <w:basedOn w:val="Bezseznamu"/>
    <w:pPr>
      <w:numPr>
        <w:numId w:val="5"/>
      </w:numPr>
    </w:pPr>
  </w:style>
  <w:style w:type="numbering" w:customStyle="1" w:styleId="WWOutlineListStyle11">
    <w:name w:val="WW_OutlineListStyle_11"/>
    <w:basedOn w:val="Bezseznamu"/>
    <w:pPr>
      <w:numPr>
        <w:numId w:val="6"/>
      </w:numPr>
    </w:pPr>
  </w:style>
  <w:style w:type="numbering" w:customStyle="1" w:styleId="WWOutlineListStyle10">
    <w:name w:val="WW_OutlineListStyle_10"/>
    <w:basedOn w:val="Bezseznamu"/>
    <w:pPr>
      <w:numPr>
        <w:numId w:val="7"/>
      </w:numPr>
    </w:pPr>
  </w:style>
  <w:style w:type="numbering" w:customStyle="1" w:styleId="WWOutlineListStyle9">
    <w:name w:val="WW_OutlineListStyle_9"/>
    <w:basedOn w:val="Bezseznamu"/>
    <w:pPr>
      <w:numPr>
        <w:numId w:val="8"/>
      </w:numPr>
    </w:pPr>
  </w:style>
  <w:style w:type="numbering" w:customStyle="1" w:styleId="WWOutlineListStyle8">
    <w:name w:val="WW_OutlineListStyle_8"/>
    <w:basedOn w:val="Bezseznamu"/>
    <w:pPr>
      <w:numPr>
        <w:numId w:val="9"/>
      </w:numPr>
    </w:pPr>
  </w:style>
  <w:style w:type="numbering" w:customStyle="1" w:styleId="WWOutlineListStyle7">
    <w:name w:val="WW_OutlineListStyle_7"/>
    <w:basedOn w:val="Bezseznamu"/>
    <w:pPr>
      <w:numPr>
        <w:numId w:val="10"/>
      </w:numPr>
    </w:pPr>
  </w:style>
  <w:style w:type="numbering" w:customStyle="1" w:styleId="WWOutlineListStyle6">
    <w:name w:val="WW_OutlineListStyle_6"/>
    <w:basedOn w:val="Bezseznamu"/>
    <w:pPr>
      <w:numPr>
        <w:numId w:val="11"/>
      </w:numPr>
    </w:pPr>
  </w:style>
  <w:style w:type="numbering" w:customStyle="1" w:styleId="WWOutlineListStyle5">
    <w:name w:val="WW_OutlineListStyle_5"/>
    <w:basedOn w:val="Bezseznamu"/>
    <w:pPr>
      <w:numPr>
        <w:numId w:val="12"/>
      </w:numPr>
    </w:pPr>
  </w:style>
  <w:style w:type="numbering" w:customStyle="1" w:styleId="WWOutlineListStyle4">
    <w:name w:val="WW_OutlineListStyle_4"/>
    <w:basedOn w:val="Bezseznamu"/>
    <w:pPr>
      <w:numPr>
        <w:numId w:val="13"/>
      </w:numPr>
    </w:pPr>
  </w:style>
  <w:style w:type="numbering" w:customStyle="1" w:styleId="WWOutlineListStyle3">
    <w:name w:val="WW_OutlineListStyle_3"/>
    <w:basedOn w:val="Bezseznamu"/>
    <w:pPr>
      <w:numPr>
        <w:numId w:val="14"/>
      </w:numPr>
    </w:pPr>
  </w:style>
  <w:style w:type="numbering" w:customStyle="1" w:styleId="WWOutlineListStyle2">
    <w:name w:val="WW_OutlineListStyle_2"/>
    <w:basedOn w:val="Bezseznamu"/>
    <w:pPr>
      <w:numPr>
        <w:numId w:val="15"/>
      </w:numPr>
    </w:pPr>
  </w:style>
  <w:style w:type="numbering" w:customStyle="1" w:styleId="WWOutlineListStyle1">
    <w:name w:val="WW_OutlineListStyle_1"/>
    <w:basedOn w:val="Bezseznamu"/>
    <w:pPr>
      <w:numPr>
        <w:numId w:val="16"/>
      </w:numPr>
    </w:pPr>
  </w:style>
  <w:style w:type="numbering" w:customStyle="1" w:styleId="WWOutlineListStyle">
    <w:name w:val="WW_OutlineListStyle"/>
    <w:basedOn w:val="Bezseznamu"/>
    <w:pPr>
      <w:numPr>
        <w:numId w:val="17"/>
      </w:numPr>
    </w:pPr>
  </w:style>
  <w:style w:type="numbering" w:customStyle="1" w:styleId="VariantaA-sla">
    <w:name w:val="Varianta A - čísla"/>
    <w:basedOn w:val="Bezseznamu"/>
    <w:pPr>
      <w:numPr>
        <w:numId w:val="18"/>
      </w:numPr>
    </w:pPr>
  </w:style>
  <w:style w:type="numbering" w:customStyle="1" w:styleId="LFO2">
    <w:name w:val="LFO2"/>
    <w:basedOn w:val="Bezseznamu"/>
    <w:pPr>
      <w:numPr>
        <w:numId w:val="19"/>
      </w:numPr>
    </w:pPr>
  </w:style>
  <w:style w:type="numbering" w:customStyle="1" w:styleId="LFO5">
    <w:name w:val="LFO5"/>
    <w:basedOn w:val="Bezseznamu"/>
    <w:pPr>
      <w:numPr>
        <w:numId w:val="20"/>
      </w:numPr>
    </w:pPr>
  </w:style>
  <w:style w:type="numbering" w:customStyle="1" w:styleId="LFO8">
    <w:name w:val="LFO8"/>
    <w:basedOn w:val="Bezseznamu"/>
    <w:pPr>
      <w:numPr>
        <w:numId w:val="21"/>
      </w:numPr>
    </w:pPr>
  </w:style>
  <w:style w:type="numbering" w:customStyle="1" w:styleId="LFO9">
    <w:name w:val="LFO9"/>
    <w:basedOn w:val="Bezseznamu"/>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2520C9693F224A8BBC54AA779DF58C" ma:contentTypeVersion="6" ma:contentTypeDescription="Vytvoří nový dokument" ma:contentTypeScope="" ma:versionID="125b4243a2188f18efbf13b5ba37d5d4">
  <xsd:schema xmlns:xsd="http://www.w3.org/2001/XMLSchema" xmlns:xs="http://www.w3.org/2001/XMLSchema" xmlns:p="http://schemas.microsoft.com/office/2006/metadata/properties" xmlns:ns2="5485d1c2-08f9-4acc-9fb1-ee32545515ee" xmlns:ns3="004017fa-1438-4109-9f1c-04cecdef5fa6" targetNamespace="http://schemas.microsoft.com/office/2006/metadata/properties" ma:root="true" ma:fieldsID="2fd7740e3e0bc775a683d39fc37574d1" ns2:_="" ns3:_="">
    <xsd:import namespace="5485d1c2-08f9-4acc-9fb1-ee32545515ee"/>
    <xsd:import namespace="004017fa-1438-4109-9f1c-04cecdef5f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d1c2-08f9-4acc-9fb1-ee3254551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017fa-1438-4109-9f1c-04cecdef5fa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BE509-D0F0-4F06-A768-E3AB5D5D6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F6F01-0149-4F36-B388-FA739E45F7AB}">
  <ds:schemaRefs>
    <ds:schemaRef ds:uri="http://schemas.microsoft.com/sharepoint/v3/contenttype/forms"/>
  </ds:schemaRefs>
</ds:datastoreItem>
</file>

<file path=customXml/itemProps3.xml><?xml version="1.0" encoding="utf-8"?>
<ds:datastoreItem xmlns:ds="http://schemas.openxmlformats.org/officeDocument/2006/customXml" ds:itemID="{B2C563F3-4273-44BE-ACD8-BD31A427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d1c2-08f9-4acc-9fb1-ee32545515ee"/>
    <ds:schemaRef ds:uri="004017fa-1438-4109-9f1c-04cecdef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4437</Words>
  <Characters>26179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Marek</dc:creator>
  <cp:lastModifiedBy>Vítek Petr</cp:lastModifiedBy>
  <cp:revision>7</cp:revision>
  <dcterms:created xsi:type="dcterms:W3CDTF">2024-02-01T11:36:00Z</dcterms:created>
  <dcterms:modified xsi:type="dcterms:W3CDTF">2024-02-28T08:02:00Z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0x010100752520C9693F224A8BBC54AA779DF58C</vt:lpwstr>
  </property>
</Properties>
</file>